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80" w:rsidRPr="00184105" w:rsidRDefault="00184105" w:rsidP="00184105">
      <w:pPr>
        <w:spacing w:line="360" w:lineRule="auto"/>
        <w:jc w:val="left"/>
        <w:rPr>
          <w:rFonts w:ascii="Gill Sans MT" w:hAnsi="Gill Sans MT"/>
          <w:sz w:val="24"/>
          <w:szCs w:val="48"/>
        </w:rPr>
      </w:pPr>
      <w:bookmarkStart w:id="0" w:name="_Toc481168060"/>
      <w:r w:rsidRPr="00184105">
        <w:rPr>
          <w:rFonts w:ascii="Gill Sans MT" w:hAnsi="Gill Sans MT"/>
          <w:sz w:val="24"/>
          <w:szCs w:val="48"/>
        </w:rPr>
        <w:t>AdP</w:t>
      </w:r>
      <w:r w:rsidR="00375280" w:rsidRPr="00184105">
        <w:rPr>
          <w:rFonts w:ascii="Gill Sans MT" w:hAnsi="Gill Sans MT"/>
          <w:sz w:val="24"/>
          <w:szCs w:val="48"/>
        </w:rPr>
        <w:t xml:space="preserve"> – ÁGUAS </w:t>
      </w:r>
      <w:r w:rsidRPr="00184105">
        <w:rPr>
          <w:rFonts w:ascii="Gill Sans MT" w:hAnsi="Gill Sans MT"/>
          <w:sz w:val="24"/>
          <w:szCs w:val="48"/>
        </w:rPr>
        <w:t>DE PORTUGAL, SGPS, SA</w:t>
      </w:r>
    </w:p>
    <w:p w:rsidR="00CE5347" w:rsidRDefault="00CE5347" w:rsidP="00184105">
      <w:pPr>
        <w:spacing w:line="360" w:lineRule="auto"/>
        <w:jc w:val="center"/>
        <w:rPr>
          <w:rFonts w:ascii="Gill Sans MT" w:hAnsi="Gill Sans MT"/>
          <w:sz w:val="40"/>
          <w:szCs w:val="48"/>
        </w:rPr>
      </w:pPr>
    </w:p>
    <w:p w:rsidR="00184105" w:rsidRPr="00184105" w:rsidRDefault="00184105" w:rsidP="00184105">
      <w:pPr>
        <w:spacing w:line="360" w:lineRule="auto"/>
        <w:jc w:val="center"/>
        <w:rPr>
          <w:rFonts w:ascii="Gill Sans MT" w:hAnsi="Gill Sans MT"/>
          <w:sz w:val="40"/>
          <w:szCs w:val="48"/>
        </w:rPr>
      </w:pPr>
      <w:r w:rsidRPr="00184105">
        <w:rPr>
          <w:rFonts w:ascii="Gill Sans MT" w:hAnsi="Gill Sans MT"/>
          <w:sz w:val="40"/>
          <w:szCs w:val="48"/>
        </w:rPr>
        <w:t>ASSEMBLEIA-GERAL DE ACIONISTAS APROVA RELATÓRIO E CONTAS DE 2016</w:t>
      </w:r>
    </w:p>
    <w:p w:rsidR="0055148B" w:rsidRPr="0055148B" w:rsidRDefault="0055148B" w:rsidP="0055148B">
      <w:pPr>
        <w:spacing w:before="240" w:line="360" w:lineRule="auto"/>
        <w:jc w:val="center"/>
        <w:rPr>
          <w:rFonts w:ascii="Gill Sans MT" w:hAnsi="Gill Sans MT"/>
          <w:b/>
          <w:sz w:val="24"/>
          <w:szCs w:val="24"/>
        </w:rPr>
      </w:pPr>
      <w:r w:rsidRPr="0055148B">
        <w:rPr>
          <w:rFonts w:ascii="Gill Sans MT" w:hAnsi="Gill Sans MT"/>
          <w:b/>
          <w:sz w:val="24"/>
          <w:szCs w:val="24"/>
        </w:rPr>
        <w:t xml:space="preserve">A redução do endividamento líquido em 100 milhões de euros e o aumento de 7% do </w:t>
      </w:r>
      <w:proofErr w:type="gramStart"/>
      <w:r w:rsidRPr="00CE5347">
        <w:rPr>
          <w:rFonts w:ascii="Gill Sans MT" w:hAnsi="Gill Sans MT"/>
          <w:b/>
          <w:i/>
          <w:sz w:val="24"/>
          <w:szCs w:val="24"/>
        </w:rPr>
        <w:t>cash-flow</w:t>
      </w:r>
      <w:proofErr w:type="gramEnd"/>
      <w:r w:rsidRPr="0055148B">
        <w:rPr>
          <w:rFonts w:ascii="Gill Sans MT" w:hAnsi="Gill Sans MT"/>
          <w:b/>
          <w:sz w:val="24"/>
          <w:szCs w:val="24"/>
        </w:rPr>
        <w:t xml:space="preserve"> operacional destacam-se no desempenho económico-financeiro do Grupo AdP no exercício de 2016.</w:t>
      </w:r>
    </w:p>
    <w:p w:rsidR="00184105" w:rsidRPr="00184105" w:rsidRDefault="00CE5347" w:rsidP="0055148B">
      <w:pPr>
        <w:spacing w:before="240" w:line="360" w:lineRule="auto"/>
        <w:rPr>
          <w:rFonts w:ascii="Gill Sans MT" w:hAnsi="Gill Sans MT"/>
          <w:sz w:val="24"/>
          <w:szCs w:val="24"/>
        </w:rPr>
      </w:pPr>
      <w:r w:rsidRPr="00F04EDB">
        <w:rPr>
          <w:rFonts w:ascii="Gill Sans MT" w:hAnsi="Gill Sans MT"/>
          <w:i/>
          <w:sz w:val="24"/>
          <w:szCs w:val="24"/>
        </w:rPr>
        <w:t>Lisboa, 29 de maio de 2017</w:t>
      </w:r>
      <w:r>
        <w:rPr>
          <w:rFonts w:ascii="Gill Sans MT" w:hAnsi="Gill Sans MT"/>
          <w:sz w:val="24"/>
          <w:szCs w:val="24"/>
        </w:rPr>
        <w:t xml:space="preserve"> - </w:t>
      </w:r>
      <w:r w:rsidR="00184105" w:rsidRPr="00184105">
        <w:rPr>
          <w:rFonts w:ascii="Gill Sans MT" w:hAnsi="Gill Sans MT"/>
          <w:sz w:val="24"/>
          <w:szCs w:val="24"/>
        </w:rPr>
        <w:t>A Assembleia-Geral de acionistas da AdP – Águas de Portugal, SGPS, SA</w:t>
      </w:r>
      <w:r>
        <w:rPr>
          <w:rFonts w:ascii="Gill Sans MT" w:hAnsi="Gill Sans MT"/>
          <w:sz w:val="24"/>
          <w:szCs w:val="24"/>
        </w:rPr>
        <w:t>, hoje reunida,</w:t>
      </w:r>
      <w:r w:rsidR="00184105" w:rsidRPr="00184105">
        <w:rPr>
          <w:rFonts w:ascii="Gill Sans MT" w:hAnsi="Gill Sans MT"/>
          <w:sz w:val="24"/>
          <w:szCs w:val="24"/>
        </w:rPr>
        <w:t xml:space="preserve"> deliberou aprovar o relatório de gestão e as demonstrações financeiras do exercício de 2016</w:t>
      </w:r>
      <w:r w:rsidR="002F1857">
        <w:rPr>
          <w:rFonts w:ascii="Gill Sans MT" w:hAnsi="Gill Sans MT"/>
          <w:sz w:val="24"/>
          <w:szCs w:val="24"/>
        </w:rPr>
        <w:t>.</w:t>
      </w:r>
    </w:p>
    <w:p w:rsidR="00733B6E" w:rsidRDefault="006B666C" w:rsidP="0055148B">
      <w:pPr>
        <w:spacing w:before="240" w:line="360" w:lineRule="auto"/>
        <w:rPr>
          <w:rFonts w:ascii="Gill Sans MT" w:hAnsi="Gill Sans MT"/>
          <w:sz w:val="24"/>
          <w:szCs w:val="24"/>
        </w:rPr>
      </w:pPr>
      <w:r w:rsidRPr="0055148B">
        <w:rPr>
          <w:rFonts w:ascii="Gill Sans MT" w:hAnsi="Gill Sans MT"/>
          <w:sz w:val="24"/>
          <w:szCs w:val="24"/>
        </w:rPr>
        <w:t>No desempenho económico e financeiro do Grupo</w:t>
      </w:r>
      <w:bookmarkStart w:id="1" w:name="_GoBack"/>
      <w:bookmarkEnd w:id="1"/>
      <w:r w:rsidRPr="0055148B">
        <w:rPr>
          <w:rFonts w:ascii="Gill Sans MT" w:hAnsi="Gill Sans MT"/>
          <w:sz w:val="24"/>
          <w:szCs w:val="24"/>
        </w:rPr>
        <w:t xml:space="preserve"> em 2016 destacam-se</w:t>
      </w:r>
      <w:r w:rsidR="00733B6E">
        <w:rPr>
          <w:rFonts w:ascii="Gill Sans MT" w:hAnsi="Gill Sans MT"/>
          <w:sz w:val="24"/>
          <w:szCs w:val="24"/>
        </w:rPr>
        <w:t>:</w:t>
      </w:r>
    </w:p>
    <w:p w:rsidR="00B14E6C" w:rsidRPr="00733B6E" w:rsidRDefault="00B14E6C" w:rsidP="00B14E6C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Pr="00733B6E">
        <w:rPr>
          <w:rFonts w:ascii="Gill Sans MT" w:hAnsi="Gill Sans MT"/>
          <w:sz w:val="24"/>
          <w:szCs w:val="24"/>
        </w:rPr>
        <w:t xml:space="preserve"> diminuição do endividamento líquido em cerca de 100 milhões de euros</w:t>
      </w:r>
      <w:proofErr w:type="gramStart"/>
      <w:r w:rsidRPr="00733B6E">
        <w:rPr>
          <w:rFonts w:ascii="Gill Sans MT" w:hAnsi="Gill Sans MT"/>
          <w:sz w:val="24"/>
          <w:szCs w:val="24"/>
        </w:rPr>
        <w:t>,</w:t>
      </w:r>
      <w:proofErr w:type="gramEnd"/>
      <w:r w:rsidRPr="00733B6E">
        <w:rPr>
          <w:rFonts w:ascii="Gill Sans MT" w:hAnsi="Gill Sans MT"/>
          <w:sz w:val="24"/>
          <w:szCs w:val="24"/>
        </w:rPr>
        <w:t xml:space="preserve"> para 2.04</w:t>
      </w:r>
      <w:r>
        <w:rPr>
          <w:rFonts w:ascii="Gill Sans MT" w:hAnsi="Gill Sans MT"/>
          <w:sz w:val="24"/>
          <w:szCs w:val="24"/>
        </w:rPr>
        <w:t>4</w:t>
      </w:r>
      <w:r w:rsidRPr="00733B6E">
        <w:rPr>
          <w:rFonts w:ascii="Gill Sans MT" w:hAnsi="Gill Sans MT"/>
          <w:sz w:val="24"/>
          <w:szCs w:val="24"/>
        </w:rPr>
        <w:t xml:space="preserve"> milhões de euros</w:t>
      </w:r>
      <w:r w:rsidR="00CE5347">
        <w:rPr>
          <w:rFonts w:ascii="Gill Sans MT" w:hAnsi="Gill Sans MT"/>
          <w:sz w:val="24"/>
          <w:szCs w:val="24"/>
        </w:rPr>
        <w:t>;</w:t>
      </w:r>
    </w:p>
    <w:p w:rsidR="00B14E6C" w:rsidRDefault="00B14E6C" w:rsidP="00B14E6C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Pr="00733B6E">
        <w:rPr>
          <w:rFonts w:ascii="Gill Sans MT" w:hAnsi="Gill Sans MT"/>
          <w:sz w:val="24"/>
          <w:szCs w:val="24"/>
        </w:rPr>
        <w:t xml:space="preserve"> diminuição do </w:t>
      </w:r>
      <w:r>
        <w:rPr>
          <w:rFonts w:ascii="Gill Sans MT" w:hAnsi="Gill Sans MT"/>
          <w:sz w:val="24"/>
          <w:szCs w:val="24"/>
        </w:rPr>
        <w:t>défice tarifário</w:t>
      </w:r>
      <w:r w:rsidRPr="00733B6E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>registando-se</w:t>
      </w:r>
      <w:r w:rsidRPr="00733B6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36,2 milhões de euros </w:t>
      </w:r>
      <w:r w:rsidRPr="000454D2">
        <w:rPr>
          <w:rFonts w:ascii="Gill Sans MT" w:hAnsi="Gill Sans MT"/>
          <w:sz w:val="24"/>
          <w:szCs w:val="24"/>
        </w:rPr>
        <w:t xml:space="preserve">em 2016, </w:t>
      </w:r>
      <w:r>
        <w:rPr>
          <w:rFonts w:ascii="Gill Sans MT" w:hAnsi="Gill Sans MT"/>
          <w:sz w:val="24"/>
          <w:szCs w:val="24"/>
        </w:rPr>
        <w:t xml:space="preserve">um </w:t>
      </w:r>
      <w:r w:rsidRPr="000454D2">
        <w:rPr>
          <w:rFonts w:ascii="Gill Sans MT" w:hAnsi="Gill Sans MT"/>
          <w:sz w:val="24"/>
          <w:szCs w:val="24"/>
        </w:rPr>
        <w:t>valor inferior a metade do registado em 2015;</w:t>
      </w:r>
    </w:p>
    <w:p w:rsidR="00733B6E" w:rsidRPr="00733B6E" w:rsidRDefault="00733B6E" w:rsidP="00B14E6C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Gill Sans MT" w:hAnsi="Gill Sans MT"/>
          <w:sz w:val="24"/>
          <w:szCs w:val="24"/>
        </w:rPr>
      </w:pPr>
      <w:r w:rsidRPr="00733B6E">
        <w:rPr>
          <w:rFonts w:ascii="Gill Sans MT" w:hAnsi="Gill Sans MT"/>
          <w:sz w:val="24"/>
          <w:szCs w:val="24"/>
        </w:rPr>
        <w:t xml:space="preserve">O aumento do </w:t>
      </w:r>
      <w:r w:rsidR="000F0FF3">
        <w:rPr>
          <w:rFonts w:ascii="Gill Sans MT" w:hAnsi="Gill Sans MT"/>
          <w:sz w:val="24"/>
          <w:szCs w:val="24"/>
        </w:rPr>
        <w:t>v</w:t>
      </w:r>
      <w:r w:rsidRPr="00733B6E">
        <w:rPr>
          <w:rFonts w:ascii="Gill Sans MT" w:hAnsi="Gill Sans MT"/>
          <w:sz w:val="24"/>
          <w:szCs w:val="24"/>
        </w:rPr>
        <w:t>olume de negócios, em cerca de 5%, ultrapassando os 600 milhões de euros;</w:t>
      </w:r>
    </w:p>
    <w:p w:rsidR="00733B6E" w:rsidRPr="00733B6E" w:rsidRDefault="00B14E6C" w:rsidP="000454D2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</w:t>
      </w:r>
      <w:r w:rsidR="006B666C" w:rsidRPr="00733B6E">
        <w:rPr>
          <w:rFonts w:ascii="Gill Sans MT" w:hAnsi="Gill Sans MT"/>
          <w:sz w:val="24"/>
          <w:szCs w:val="24"/>
        </w:rPr>
        <w:t xml:space="preserve"> aumento de 7% do </w:t>
      </w:r>
      <w:proofErr w:type="gramStart"/>
      <w:r w:rsidR="000F0FF3" w:rsidRPr="00CA5710">
        <w:rPr>
          <w:rFonts w:ascii="Gill Sans MT" w:hAnsi="Gill Sans MT"/>
          <w:i/>
          <w:sz w:val="24"/>
          <w:szCs w:val="24"/>
        </w:rPr>
        <w:t>c</w:t>
      </w:r>
      <w:r w:rsidR="002662E5" w:rsidRPr="00CA5710">
        <w:rPr>
          <w:rFonts w:ascii="Gill Sans MT" w:hAnsi="Gill Sans MT"/>
          <w:i/>
          <w:sz w:val="24"/>
          <w:szCs w:val="24"/>
        </w:rPr>
        <w:t>ash-</w:t>
      </w:r>
      <w:r w:rsidR="000F0FF3" w:rsidRPr="00CA5710">
        <w:rPr>
          <w:rFonts w:ascii="Gill Sans MT" w:hAnsi="Gill Sans MT"/>
          <w:i/>
          <w:sz w:val="24"/>
          <w:szCs w:val="24"/>
        </w:rPr>
        <w:t>f</w:t>
      </w:r>
      <w:r w:rsidR="002662E5" w:rsidRPr="00CA5710">
        <w:rPr>
          <w:rFonts w:ascii="Gill Sans MT" w:hAnsi="Gill Sans MT"/>
          <w:i/>
          <w:sz w:val="24"/>
          <w:szCs w:val="24"/>
        </w:rPr>
        <w:t>low</w:t>
      </w:r>
      <w:proofErr w:type="gramEnd"/>
      <w:r w:rsidR="002662E5">
        <w:rPr>
          <w:rFonts w:ascii="Gill Sans MT" w:hAnsi="Gill Sans MT"/>
          <w:sz w:val="24"/>
          <w:szCs w:val="24"/>
        </w:rPr>
        <w:t xml:space="preserve"> </w:t>
      </w:r>
      <w:r w:rsidR="000F0FF3">
        <w:rPr>
          <w:rFonts w:ascii="Gill Sans MT" w:hAnsi="Gill Sans MT"/>
          <w:sz w:val="24"/>
          <w:szCs w:val="24"/>
        </w:rPr>
        <w:t>o</w:t>
      </w:r>
      <w:r w:rsidR="002662E5">
        <w:rPr>
          <w:rFonts w:ascii="Gill Sans MT" w:hAnsi="Gill Sans MT"/>
          <w:sz w:val="24"/>
          <w:szCs w:val="24"/>
        </w:rPr>
        <w:t>peracional</w:t>
      </w:r>
      <w:r w:rsidR="006B666C" w:rsidRPr="00733B6E">
        <w:rPr>
          <w:rFonts w:ascii="Gill Sans MT" w:hAnsi="Gill Sans MT"/>
          <w:sz w:val="24"/>
          <w:szCs w:val="24"/>
        </w:rPr>
        <w:t xml:space="preserve">, </w:t>
      </w:r>
      <w:r w:rsidR="00733B6E">
        <w:rPr>
          <w:rFonts w:ascii="Gill Sans MT" w:hAnsi="Gill Sans MT"/>
          <w:sz w:val="24"/>
          <w:szCs w:val="24"/>
        </w:rPr>
        <w:t>situando-se</w:t>
      </w:r>
      <w:r w:rsidR="006B666C" w:rsidRPr="00733B6E">
        <w:rPr>
          <w:rFonts w:ascii="Gill Sans MT" w:hAnsi="Gill Sans MT"/>
          <w:sz w:val="24"/>
          <w:szCs w:val="24"/>
        </w:rPr>
        <w:t xml:space="preserve"> </w:t>
      </w:r>
      <w:r w:rsidR="00733B6E" w:rsidRPr="00733B6E">
        <w:rPr>
          <w:rFonts w:ascii="Gill Sans MT" w:hAnsi="Gill Sans MT"/>
          <w:sz w:val="24"/>
          <w:szCs w:val="24"/>
        </w:rPr>
        <w:t xml:space="preserve">em </w:t>
      </w:r>
      <w:r w:rsidR="006B666C" w:rsidRPr="00733B6E">
        <w:rPr>
          <w:rFonts w:ascii="Gill Sans MT" w:hAnsi="Gill Sans MT"/>
          <w:sz w:val="24"/>
          <w:szCs w:val="24"/>
        </w:rPr>
        <w:t>306,3 milhões de euros</w:t>
      </w:r>
      <w:r w:rsidR="00CE5347">
        <w:rPr>
          <w:rFonts w:ascii="Gill Sans MT" w:hAnsi="Gill Sans MT"/>
          <w:sz w:val="24"/>
          <w:szCs w:val="24"/>
        </w:rPr>
        <w:t>.</w:t>
      </w:r>
    </w:p>
    <w:p w:rsidR="00332FB8" w:rsidRDefault="00332FB8" w:rsidP="0055148B">
      <w:pPr>
        <w:spacing w:before="240"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O exercício de 2016 fica </w:t>
      </w:r>
      <w:r w:rsidR="0055148B">
        <w:rPr>
          <w:rFonts w:ascii="Gill Sans MT" w:hAnsi="Gill Sans MT"/>
          <w:sz w:val="24"/>
          <w:szCs w:val="24"/>
        </w:rPr>
        <w:t xml:space="preserve">ainda </w:t>
      </w:r>
      <w:r>
        <w:rPr>
          <w:rFonts w:ascii="Gill Sans MT" w:hAnsi="Gill Sans MT"/>
          <w:sz w:val="24"/>
          <w:szCs w:val="24"/>
        </w:rPr>
        <w:t xml:space="preserve">marcado </w:t>
      </w:r>
      <w:r w:rsidR="0055148B">
        <w:rPr>
          <w:rFonts w:ascii="Gill Sans MT" w:hAnsi="Gill Sans MT"/>
          <w:sz w:val="24"/>
          <w:szCs w:val="24"/>
        </w:rPr>
        <w:t>p</w:t>
      </w:r>
      <w:r w:rsidR="002662E5">
        <w:rPr>
          <w:rFonts w:ascii="Gill Sans MT" w:hAnsi="Gill Sans MT"/>
          <w:sz w:val="24"/>
          <w:szCs w:val="24"/>
        </w:rPr>
        <w:t>or</w:t>
      </w:r>
      <w:r>
        <w:rPr>
          <w:rFonts w:ascii="Gill Sans MT" w:hAnsi="Gill Sans MT"/>
          <w:sz w:val="24"/>
          <w:szCs w:val="24"/>
        </w:rPr>
        <w:t xml:space="preserve"> </w:t>
      </w:r>
      <w:r w:rsidR="000F0FF3">
        <w:rPr>
          <w:rFonts w:ascii="Gill Sans MT" w:hAnsi="Gill Sans MT"/>
          <w:sz w:val="24"/>
          <w:szCs w:val="24"/>
        </w:rPr>
        <w:t xml:space="preserve">uma </w:t>
      </w:r>
      <w:r>
        <w:rPr>
          <w:rFonts w:ascii="Gill Sans MT" w:hAnsi="Gill Sans MT"/>
          <w:sz w:val="24"/>
          <w:szCs w:val="24"/>
        </w:rPr>
        <w:t xml:space="preserve">recuperação da dívida dos clientes, </w:t>
      </w:r>
      <w:r w:rsidR="00733B6E">
        <w:rPr>
          <w:rFonts w:ascii="Gill Sans MT" w:hAnsi="Gill Sans MT"/>
          <w:sz w:val="24"/>
          <w:szCs w:val="24"/>
        </w:rPr>
        <w:t xml:space="preserve">a </w:t>
      </w:r>
      <w:r w:rsidR="002662E5">
        <w:rPr>
          <w:rFonts w:ascii="Gill Sans MT" w:hAnsi="Gill Sans MT"/>
          <w:sz w:val="24"/>
          <w:szCs w:val="24"/>
        </w:rPr>
        <w:t xml:space="preserve">qual </w:t>
      </w:r>
      <w:r w:rsidR="00733B6E">
        <w:rPr>
          <w:rFonts w:ascii="Gill Sans MT" w:hAnsi="Gill Sans MT"/>
          <w:sz w:val="24"/>
          <w:szCs w:val="24"/>
        </w:rPr>
        <w:t xml:space="preserve">diminuiu </w:t>
      </w:r>
      <w:r w:rsidR="002662E5">
        <w:rPr>
          <w:rFonts w:ascii="Gill Sans MT" w:hAnsi="Gill Sans MT"/>
          <w:sz w:val="24"/>
          <w:szCs w:val="24"/>
        </w:rPr>
        <w:t>1</w:t>
      </w:r>
      <w:r w:rsidR="002F1857">
        <w:rPr>
          <w:rFonts w:ascii="Gill Sans MT" w:hAnsi="Gill Sans MT"/>
          <w:sz w:val="24"/>
          <w:szCs w:val="24"/>
        </w:rPr>
        <w:t>3</w:t>
      </w:r>
      <w:r w:rsidR="002662E5">
        <w:rPr>
          <w:rFonts w:ascii="Gill Sans MT" w:hAnsi="Gill Sans MT"/>
          <w:sz w:val="24"/>
          <w:szCs w:val="24"/>
        </w:rPr>
        <w:t>%</w:t>
      </w:r>
      <w:r w:rsidR="00733B6E" w:rsidRPr="00733B6E">
        <w:rPr>
          <w:rFonts w:ascii="Gill Sans MT" w:hAnsi="Gill Sans MT"/>
          <w:sz w:val="24"/>
          <w:szCs w:val="24"/>
        </w:rPr>
        <w:t>.</w:t>
      </w:r>
    </w:p>
    <w:p w:rsidR="002662E5" w:rsidRPr="002662E5" w:rsidRDefault="002662E5" w:rsidP="002662E5">
      <w:pPr>
        <w:spacing w:before="240" w:line="360" w:lineRule="auto"/>
        <w:rPr>
          <w:rFonts w:ascii="Gill Sans MT" w:hAnsi="Gill Sans MT"/>
          <w:sz w:val="24"/>
          <w:szCs w:val="24"/>
        </w:rPr>
      </w:pPr>
      <w:r w:rsidRPr="002662E5">
        <w:rPr>
          <w:rFonts w:ascii="Gill Sans MT" w:hAnsi="Gill Sans MT"/>
          <w:sz w:val="24"/>
          <w:szCs w:val="24"/>
        </w:rPr>
        <w:t>O Grupo AdP registou um resultado líquido consolidado de 70,8 milhões de euros no exercício económico-financeiro de 2016</w:t>
      </w:r>
      <w:r w:rsidR="000E2B37">
        <w:rPr>
          <w:rFonts w:ascii="Gill Sans MT" w:hAnsi="Gill Sans MT"/>
          <w:sz w:val="24"/>
          <w:szCs w:val="24"/>
        </w:rPr>
        <w:t xml:space="preserve">. A alienação </w:t>
      </w:r>
      <w:r w:rsidR="000E2B37" w:rsidRPr="002662E5">
        <w:rPr>
          <w:rFonts w:ascii="Gill Sans MT" w:hAnsi="Gill Sans MT"/>
          <w:sz w:val="24"/>
          <w:szCs w:val="24"/>
        </w:rPr>
        <w:t>do negócio dos resíduos</w:t>
      </w:r>
      <w:r w:rsidR="000E2B37">
        <w:rPr>
          <w:rFonts w:ascii="Gill Sans MT" w:hAnsi="Gill Sans MT"/>
          <w:sz w:val="24"/>
          <w:szCs w:val="24"/>
        </w:rPr>
        <w:t xml:space="preserve"> em 2015 e necessidade de constituição </w:t>
      </w:r>
      <w:r w:rsidR="00FB5287">
        <w:rPr>
          <w:rFonts w:ascii="Gill Sans MT" w:hAnsi="Gill Sans MT"/>
          <w:sz w:val="24"/>
          <w:szCs w:val="24"/>
        </w:rPr>
        <w:t xml:space="preserve">em 2016 </w:t>
      </w:r>
      <w:r w:rsidR="000E2B37">
        <w:rPr>
          <w:rFonts w:ascii="Gill Sans MT" w:hAnsi="Gill Sans MT"/>
          <w:sz w:val="24"/>
          <w:szCs w:val="24"/>
        </w:rPr>
        <w:t xml:space="preserve">de provisões para riscos de atividade são as principais justificações da sua </w:t>
      </w:r>
      <w:r w:rsidRPr="002662E5">
        <w:rPr>
          <w:rFonts w:ascii="Gill Sans MT" w:hAnsi="Gill Sans MT"/>
          <w:sz w:val="24"/>
          <w:szCs w:val="24"/>
        </w:rPr>
        <w:t>diminuição em relação ao exercício do ano anterior</w:t>
      </w:r>
      <w:r w:rsidR="000F0FF3">
        <w:rPr>
          <w:rFonts w:ascii="Gill Sans MT" w:hAnsi="Gill Sans MT"/>
          <w:sz w:val="24"/>
          <w:szCs w:val="24"/>
        </w:rPr>
        <w:t>, que tinha registado um resultado extraordinário de 166 milhões de euros</w:t>
      </w:r>
      <w:r w:rsidR="000E2B37">
        <w:rPr>
          <w:rFonts w:ascii="Gill Sans MT" w:hAnsi="Gill Sans MT"/>
          <w:sz w:val="24"/>
          <w:szCs w:val="24"/>
        </w:rPr>
        <w:t>.</w:t>
      </w:r>
    </w:p>
    <w:p w:rsidR="004934DC" w:rsidRPr="005100B9" w:rsidRDefault="004934DC" w:rsidP="005100B9">
      <w:pPr>
        <w:spacing w:before="240" w:line="360" w:lineRule="auto"/>
        <w:rPr>
          <w:rFonts w:ascii="Gill Sans MT" w:hAnsi="Gill Sans MT"/>
          <w:sz w:val="24"/>
          <w:szCs w:val="24"/>
        </w:rPr>
      </w:pPr>
      <w:r w:rsidRPr="005100B9">
        <w:rPr>
          <w:rFonts w:ascii="Gill Sans MT" w:hAnsi="Gill Sans MT"/>
          <w:sz w:val="24"/>
          <w:szCs w:val="24"/>
        </w:rPr>
        <w:lastRenderedPageBreak/>
        <w:t xml:space="preserve">João Nuno Mendes, Presidente do </w:t>
      </w:r>
      <w:r w:rsidR="000F0FF3">
        <w:rPr>
          <w:rFonts w:ascii="Gill Sans MT" w:hAnsi="Gill Sans MT"/>
          <w:sz w:val="24"/>
          <w:szCs w:val="24"/>
        </w:rPr>
        <w:t>Conselho de Administração</w:t>
      </w:r>
      <w:r w:rsidRPr="005100B9">
        <w:rPr>
          <w:rFonts w:ascii="Gill Sans MT" w:hAnsi="Gill Sans MT"/>
          <w:sz w:val="24"/>
          <w:szCs w:val="24"/>
        </w:rPr>
        <w:t xml:space="preserve">, destaca a grande intensidade </w:t>
      </w:r>
      <w:r w:rsidR="005100B9">
        <w:rPr>
          <w:rFonts w:ascii="Gill Sans MT" w:hAnsi="Gill Sans MT"/>
          <w:sz w:val="24"/>
          <w:szCs w:val="24"/>
        </w:rPr>
        <w:t xml:space="preserve">registada </w:t>
      </w:r>
      <w:r w:rsidRPr="005100B9">
        <w:rPr>
          <w:rFonts w:ascii="Gill Sans MT" w:hAnsi="Gill Sans MT"/>
          <w:sz w:val="24"/>
          <w:szCs w:val="24"/>
        </w:rPr>
        <w:t xml:space="preserve">na atividade do Grupo AdP em 2016, designadamente </w:t>
      </w:r>
      <w:r w:rsidR="005100B9">
        <w:rPr>
          <w:rFonts w:ascii="Gill Sans MT" w:hAnsi="Gill Sans MT"/>
          <w:sz w:val="24"/>
          <w:szCs w:val="24"/>
        </w:rPr>
        <w:t>decorrente da</w:t>
      </w:r>
      <w:r w:rsidRPr="005100B9">
        <w:rPr>
          <w:rFonts w:ascii="Gill Sans MT" w:hAnsi="Gill Sans MT"/>
          <w:sz w:val="24"/>
          <w:szCs w:val="24"/>
        </w:rPr>
        <w:t xml:space="preserve"> reorganização empresarial e criação de novos sistemas multimunicipais de abastecimento de água e de saneamento. </w:t>
      </w:r>
    </w:p>
    <w:p w:rsidR="00970F2A" w:rsidRPr="005100B9" w:rsidRDefault="004934DC" w:rsidP="005100B9">
      <w:pPr>
        <w:spacing w:before="240" w:line="360" w:lineRule="auto"/>
        <w:rPr>
          <w:rFonts w:ascii="Gill Sans MT" w:hAnsi="Gill Sans MT"/>
          <w:sz w:val="24"/>
          <w:szCs w:val="24"/>
        </w:rPr>
      </w:pPr>
      <w:r w:rsidRPr="005100B9">
        <w:rPr>
          <w:rFonts w:ascii="Gill Sans MT" w:hAnsi="Gill Sans MT"/>
          <w:sz w:val="24"/>
          <w:szCs w:val="24"/>
        </w:rPr>
        <w:t>«Em 2016 foram dado</w:t>
      </w:r>
      <w:r w:rsidR="002662E5">
        <w:rPr>
          <w:rFonts w:ascii="Gill Sans MT" w:hAnsi="Gill Sans MT"/>
          <w:sz w:val="24"/>
          <w:szCs w:val="24"/>
        </w:rPr>
        <w:t>s</w:t>
      </w:r>
      <w:r w:rsidRPr="005100B9">
        <w:rPr>
          <w:rFonts w:ascii="Gill Sans MT" w:hAnsi="Gill Sans MT"/>
          <w:sz w:val="24"/>
          <w:szCs w:val="24"/>
        </w:rPr>
        <w:t xml:space="preserve"> passos decisivos para desenvolver e estabilizar a organização </w:t>
      </w:r>
      <w:r w:rsidR="000E2B37">
        <w:rPr>
          <w:rFonts w:ascii="Gill Sans MT" w:hAnsi="Gill Sans MT"/>
          <w:sz w:val="24"/>
          <w:szCs w:val="24"/>
        </w:rPr>
        <w:t>regional e empresarial do Grupo</w:t>
      </w:r>
      <w:r w:rsidRPr="005100B9">
        <w:rPr>
          <w:rFonts w:ascii="Gill Sans MT" w:hAnsi="Gill Sans MT"/>
          <w:sz w:val="24"/>
          <w:szCs w:val="24"/>
        </w:rPr>
        <w:t xml:space="preserve"> </w:t>
      </w:r>
      <w:r w:rsidR="000F0FF3">
        <w:rPr>
          <w:rFonts w:ascii="Gill Sans MT" w:hAnsi="Gill Sans MT"/>
          <w:sz w:val="24"/>
          <w:szCs w:val="24"/>
        </w:rPr>
        <w:t xml:space="preserve">AdP </w:t>
      </w:r>
      <w:r w:rsidR="000E2B37">
        <w:rPr>
          <w:rFonts w:ascii="Gill Sans MT" w:hAnsi="Gill Sans MT"/>
          <w:sz w:val="24"/>
          <w:szCs w:val="24"/>
        </w:rPr>
        <w:t>e</w:t>
      </w:r>
      <w:r w:rsidR="002662E5">
        <w:rPr>
          <w:rFonts w:ascii="Gill Sans MT" w:hAnsi="Gill Sans MT"/>
          <w:sz w:val="24"/>
          <w:szCs w:val="24"/>
        </w:rPr>
        <w:t xml:space="preserve"> em simultâneo </w:t>
      </w:r>
      <w:r w:rsidR="000E2B37">
        <w:rPr>
          <w:rFonts w:ascii="Gill Sans MT" w:hAnsi="Gill Sans MT"/>
          <w:sz w:val="24"/>
          <w:szCs w:val="24"/>
        </w:rPr>
        <w:t xml:space="preserve">foram </w:t>
      </w:r>
      <w:r w:rsidR="002662E5">
        <w:rPr>
          <w:rFonts w:ascii="Gill Sans MT" w:hAnsi="Gill Sans MT"/>
          <w:sz w:val="24"/>
          <w:szCs w:val="24"/>
        </w:rPr>
        <w:t>alcança</w:t>
      </w:r>
      <w:r w:rsidR="000E2B37">
        <w:rPr>
          <w:rFonts w:ascii="Gill Sans MT" w:hAnsi="Gill Sans MT"/>
          <w:sz w:val="24"/>
          <w:szCs w:val="24"/>
        </w:rPr>
        <w:t>dos</w:t>
      </w:r>
      <w:r w:rsidR="00B14E6C">
        <w:rPr>
          <w:rFonts w:ascii="Gill Sans MT" w:hAnsi="Gill Sans MT"/>
          <w:sz w:val="24"/>
          <w:szCs w:val="24"/>
        </w:rPr>
        <w:t xml:space="preserve"> resultados </w:t>
      </w:r>
      <w:r w:rsidR="002662E5">
        <w:rPr>
          <w:rFonts w:ascii="Gill Sans MT" w:hAnsi="Gill Sans MT"/>
          <w:sz w:val="24"/>
          <w:szCs w:val="24"/>
        </w:rPr>
        <w:t>significativos</w:t>
      </w:r>
      <w:r w:rsidR="00B14E6C">
        <w:rPr>
          <w:rFonts w:ascii="Gill Sans MT" w:hAnsi="Gill Sans MT"/>
          <w:sz w:val="24"/>
          <w:szCs w:val="24"/>
        </w:rPr>
        <w:t>.</w:t>
      </w:r>
      <w:r w:rsidR="000E2B37">
        <w:rPr>
          <w:rFonts w:ascii="Gill Sans MT" w:hAnsi="Gill Sans MT"/>
          <w:sz w:val="24"/>
          <w:szCs w:val="24"/>
        </w:rPr>
        <w:t xml:space="preserve"> </w:t>
      </w:r>
      <w:r w:rsidR="00B14E6C">
        <w:rPr>
          <w:rFonts w:ascii="Gill Sans MT" w:hAnsi="Gill Sans MT"/>
          <w:sz w:val="24"/>
          <w:szCs w:val="24"/>
        </w:rPr>
        <w:t>A</w:t>
      </w:r>
      <w:r w:rsidR="00B54B1E">
        <w:rPr>
          <w:rFonts w:ascii="Gill Sans MT" w:hAnsi="Gill Sans MT"/>
          <w:sz w:val="24"/>
          <w:szCs w:val="24"/>
        </w:rPr>
        <w:t xml:space="preserve"> redução do endividamento financeiro em 100 milhões de euros </w:t>
      </w:r>
      <w:r w:rsidR="00B14E6C">
        <w:rPr>
          <w:rFonts w:ascii="Gill Sans MT" w:hAnsi="Gill Sans MT"/>
          <w:sz w:val="24"/>
          <w:szCs w:val="24"/>
        </w:rPr>
        <w:t xml:space="preserve">e </w:t>
      </w:r>
      <w:r w:rsidR="000E2B37">
        <w:rPr>
          <w:rFonts w:ascii="Gill Sans MT" w:hAnsi="Gill Sans MT"/>
          <w:sz w:val="24"/>
          <w:szCs w:val="24"/>
        </w:rPr>
        <w:t xml:space="preserve">o aumento do </w:t>
      </w:r>
      <w:proofErr w:type="gramStart"/>
      <w:r w:rsidR="000E2B37" w:rsidRPr="00CA5710">
        <w:rPr>
          <w:rFonts w:ascii="Gill Sans MT" w:hAnsi="Gill Sans MT"/>
          <w:i/>
          <w:sz w:val="24"/>
          <w:szCs w:val="24"/>
        </w:rPr>
        <w:t>cash</w:t>
      </w:r>
      <w:r w:rsidR="000F0FF3">
        <w:rPr>
          <w:rFonts w:ascii="Gill Sans MT" w:hAnsi="Gill Sans MT"/>
          <w:i/>
          <w:sz w:val="24"/>
          <w:szCs w:val="24"/>
        </w:rPr>
        <w:t>-</w:t>
      </w:r>
      <w:r w:rsidR="000E2B37" w:rsidRPr="00CA5710">
        <w:rPr>
          <w:rFonts w:ascii="Gill Sans MT" w:hAnsi="Gill Sans MT"/>
          <w:i/>
          <w:sz w:val="24"/>
          <w:szCs w:val="24"/>
        </w:rPr>
        <w:t>flow</w:t>
      </w:r>
      <w:proofErr w:type="gramEnd"/>
      <w:r w:rsidR="000E2B37">
        <w:rPr>
          <w:rFonts w:ascii="Gill Sans MT" w:hAnsi="Gill Sans MT"/>
          <w:sz w:val="24"/>
          <w:szCs w:val="24"/>
        </w:rPr>
        <w:t xml:space="preserve"> </w:t>
      </w:r>
      <w:r w:rsidR="00B54B1E">
        <w:rPr>
          <w:rFonts w:ascii="Gill Sans MT" w:hAnsi="Gill Sans MT"/>
          <w:sz w:val="24"/>
          <w:szCs w:val="24"/>
        </w:rPr>
        <w:t>operacional</w:t>
      </w:r>
      <w:r w:rsidR="00B14E6C">
        <w:rPr>
          <w:rFonts w:ascii="Gill Sans MT" w:hAnsi="Gill Sans MT"/>
          <w:sz w:val="24"/>
          <w:szCs w:val="24"/>
        </w:rPr>
        <w:t xml:space="preserve"> consolidam a </w:t>
      </w:r>
      <w:r w:rsidR="000F0FF3">
        <w:rPr>
          <w:rFonts w:ascii="Gill Sans MT" w:hAnsi="Gill Sans MT"/>
          <w:sz w:val="24"/>
          <w:szCs w:val="24"/>
        </w:rPr>
        <w:t xml:space="preserve">nossa </w:t>
      </w:r>
      <w:r w:rsidR="00B14E6C">
        <w:rPr>
          <w:rFonts w:ascii="Gill Sans MT" w:hAnsi="Gill Sans MT"/>
          <w:sz w:val="24"/>
          <w:szCs w:val="24"/>
        </w:rPr>
        <w:t>sustentabilidade económica e financeira</w:t>
      </w:r>
      <w:r w:rsidR="000F0FF3">
        <w:rPr>
          <w:rFonts w:ascii="Gill Sans MT" w:hAnsi="Gill Sans MT"/>
          <w:sz w:val="24"/>
          <w:szCs w:val="24"/>
        </w:rPr>
        <w:t>.</w:t>
      </w:r>
      <w:r w:rsidR="002662E5">
        <w:rPr>
          <w:rFonts w:ascii="Gill Sans MT" w:hAnsi="Gill Sans MT"/>
          <w:sz w:val="24"/>
          <w:szCs w:val="24"/>
        </w:rPr>
        <w:t>»</w:t>
      </w:r>
      <w:r w:rsidR="00B54B1E">
        <w:rPr>
          <w:rFonts w:ascii="Gill Sans MT" w:hAnsi="Gill Sans MT"/>
          <w:sz w:val="24"/>
          <w:szCs w:val="24"/>
        </w:rPr>
        <w:t xml:space="preserve"> </w:t>
      </w:r>
      <w:proofErr w:type="gramStart"/>
      <w:r w:rsidR="00B54B1E">
        <w:rPr>
          <w:rFonts w:ascii="Gill Sans MT" w:hAnsi="Gill Sans MT"/>
          <w:sz w:val="24"/>
          <w:szCs w:val="24"/>
        </w:rPr>
        <w:t>realça</w:t>
      </w:r>
      <w:proofErr w:type="gramEnd"/>
      <w:r w:rsidR="00B54B1E">
        <w:rPr>
          <w:rFonts w:ascii="Gill Sans MT" w:hAnsi="Gill Sans MT"/>
          <w:sz w:val="24"/>
          <w:szCs w:val="24"/>
        </w:rPr>
        <w:t xml:space="preserve"> </w:t>
      </w:r>
      <w:r w:rsidR="005100B9" w:rsidRPr="005100B9">
        <w:rPr>
          <w:rFonts w:ascii="Gill Sans MT" w:hAnsi="Gill Sans MT"/>
          <w:sz w:val="24"/>
          <w:szCs w:val="24"/>
        </w:rPr>
        <w:t>o Presidente do Grupo AdP.</w:t>
      </w:r>
    </w:p>
    <w:p w:rsidR="00CE5347" w:rsidRDefault="00CE5347" w:rsidP="006B666C">
      <w:pPr>
        <w:pStyle w:val="titulodecapituloverde"/>
        <w:rPr>
          <w:color w:val="auto"/>
          <w:sz w:val="24"/>
        </w:rPr>
      </w:pPr>
      <w:bookmarkStart w:id="2" w:name="_Toc481168011"/>
      <w:bookmarkEnd w:id="0"/>
    </w:p>
    <w:p w:rsidR="006B666C" w:rsidRPr="001269A5" w:rsidRDefault="006B666C" w:rsidP="006B666C">
      <w:pPr>
        <w:pStyle w:val="titulodecapituloverde"/>
        <w:rPr>
          <w:color w:val="auto"/>
          <w:sz w:val="24"/>
        </w:rPr>
      </w:pPr>
      <w:r w:rsidRPr="001269A5">
        <w:rPr>
          <w:color w:val="auto"/>
          <w:sz w:val="24"/>
        </w:rPr>
        <w:t xml:space="preserve">O </w:t>
      </w:r>
      <w:bookmarkStart w:id="3" w:name="_Toc480825743"/>
      <w:bookmarkStart w:id="4" w:name="_Toc481034028"/>
      <w:bookmarkEnd w:id="2"/>
      <w:r w:rsidR="005100B9" w:rsidRPr="001269A5">
        <w:rPr>
          <w:color w:val="auto"/>
          <w:sz w:val="24"/>
        </w:rPr>
        <w:t>GRUPO AdP</w:t>
      </w:r>
    </w:p>
    <w:p w:rsidR="005100B9" w:rsidRPr="001269A5" w:rsidRDefault="005100B9" w:rsidP="001269A5">
      <w:pPr>
        <w:spacing w:before="240" w:line="360" w:lineRule="auto"/>
        <w:rPr>
          <w:rFonts w:ascii="Gill Sans MT" w:hAnsi="Gill Sans MT"/>
          <w:sz w:val="24"/>
          <w:szCs w:val="24"/>
        </w:rPr>
      </w:pPr>
      <w:r w:rsidRPr="001269A5">
        <w:rPr>
          <w:rFonts w:ascii="Gill Sans MT" w:hAnsi="Gill Sans MT"/>
          <w:sz w:val="24"/>
          <w:szCs w:val="24"/>
        </w:rPr>
        <w:t xml:space="preserve">A AdP - Águas de Portugal, SGPS, S.A. é uma sociedade anónima de capitais exclusivamente públicos, gestora de participações sociais que, através das suas subsidiárias, tem como principal atividade a gestão do ciclo urbano da água, operando vários sistemas de abastecimento de água e de saneamento de águas residuais. </w:t>
      </w:r>
    </w:p>
    <w:p w:rsidR="006B666C" w:rsidRPr="001269A5" w:rsidRDefault="005100B9" w:rsidP="001269A5">
      <w:pPr>
        <w:spacing w:before="240" w:line="360" w:lineRule="auto"/>
        <w:rPr>
          <w:rFonts w:ascii="Gill Sans MT" w:hAnsi="Gill Sans MT"/>
          <w:sz w:val="24"/>
          <w:szCs w:val="24"/>
        </w:rPr>
      </w:pPr>
      <w:r w:rsidRPr="001269A5">
        <w:rPr>
          <w:rFonts w:ascii="Gill Sans MT" w:hAnsi="Gill Sans MT"/>
          <w:sz w:val="24"/>
          <w:szCs w:val="24"/>
        </w:rPr>
        <w:t xml:space="preserve">Constituído em 1993, o Grupo AdP tem uma presença alargada em Portugal Continental, prestando serviços aos Municípios, que são simultaneamente acionistas das empresas gestoras dos sistemas multimunicipais (sistemas em “alta”), e servindo diretamente as populações através de sistemas municipais (sistemas em “baixa”) de abastecimento de água e de saneamento. </w:t>
      </w:r>
    </w:p>
    <w:p w:rsidR="005100B9" w:rsidRDefault="005100B9" w:rsidP="005100B9">
      <w:pPr>
        <w:pStyle w:val="titulodecapituloverde"/>
        <w:spacing w:before="0" w:after="0" w:line="240" w:lineRule="auto"/>
        <w:rPr>
          <w:rFonts w:ascii="Gill Sans MT Pro Medium" w:hAnsi="Gill Sans MT Pro Medium"/>
          <w:color w:val="auto"/>
          <w:sz w:val="32"/>
          <w:szCs w:val="48"/>
        </w:rPr>
      </w:pPr>
      <w:bookmarkStart w:id="5" w:name="_Toc481168012"/>
      <w:bookmarkEnd w:id="3"/>
      <w:bookmarkEnd w:id="4"/>
    </w:p>
    <w:p w:rsidR="001269A5" w:rsidRPr="001269A5" w:rsidRDefault="001269A5" w:rsidP="001269A5">
      <w:pPr>
        <w:pStyle w:val="titulodecapituloverde"/>
        <w:rPr>
          <w:color w:val="auto"/>
          <w:sz w:val="24"/>
        </w:rPr>
      </w:pPr>
      <w:r w:rsidRPr="001269A5">
        <w:rPr>
          <w:color w:val="auto"/>
          <w:sz w:val="24"/>
        </w:rPr>
        <w:t>ANÁLISE FINANCEIRA</w:t>
      </w:r>
      <w:r>
        <w:rPr>
          <w:color w:val="auto"/>
          <w:sz w:val="24"/>
        </w:rPr>
        <w:t xml:space="preserve"> de 2016</w:t>
      </w:r>
    </w:p>
    <w:p w:rsidR="00B54B1E" w:rsidRPr="001269A5" w:rsidRDefault="00B54B1E" w:rsidP="00B54B1E">
      <w:pPr>
        <w:spacing w:line="360" w:lineRule="auto"/>
        <w:jc w:val="left"/>
        <w:rPr>
          <w:rFonts w:ascii="Gill Sans MT" w:hAnsi="Gill Sans MT"/>
          <w:sz w:val="24"/>
          <w:szCs w:val="24"/>
        </w:rPr>
      </w:pPr>
      <w:r w:rsidRPr="001269A5">
        <w:rPr>
          <w:rFonts w:ascii="Gill Sans MT" w:hAnsi="Gill Sans MT"/>
          <w:sz w:val="24"/>
          <w:szCs w:val="24"/>
        </w:rPr>
        <w:t>Volume de Negócios</w:t>
      </w:r>
      <w:r>
        <w:rPr>
          <w:rFonts w:ascii="Gill Sans MT" w:hAnsi="Gill Sans MT"/>
          <w:sz w:val="24"/>
          <w:szCs w:val="24"/>
        </w:rPr>
        <w:t>: 609</w:t>
      </w:r>
      <w:r w:rsidRPr="001269A5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>9</w:t>
      </w:r>
      <w:r w:rsidRPr="001269A5">
        <w:rPr>
          <w:rFonts w:ascii="Gill Sans MT" w:hAnsi="Gill Sans MT"/>
          <w:sz w:val="24"/>
          <w:szCs w:val="24"/>
        </w:rPr>
        <w:t xml:space="preserve"> milhões de euros</w:t>
      </w:r>
    </w:p>
    <w:p w:rsidR="00B54B1E" w:rsidRPr="001269A5" w:rsidRDefault="00B54B1E" w:rsidP="00B54B1E">
      <w:pPr>
        <w:spacing w:line="360" w:lineRule="auto"/>
        <w:jc w:val="left"/>
        <w:rPr>
          <w:rFonts w:ascii="Gill Sans MT" w:hAnsi="Gill Sans MT"/>
          <w:sz w:val="24"/>
          <w:szCs w:val="24"/>
        </w:rPr>
      </w:pPr>
      <w:r w:rsidRPr="001269A5">
        <w:rPr>
          <w:rFonts w:ascii="Gill Sans MT" w:hAnsi="Gill Sans MT"/>
          <w:sz w:val="24"/>
          <w:szCs w:val="24"/>
        </w:rPr>
        <w:t>EBITDA (ajustado)</w:t>
      </w:r>
      <w:r>
        <w:rPr>
          <w:rFonts w:ascii="Gill Sans MT" w:hAnsi="Gill Sans MT"/>
          <w:sz w:val="24"/>
          <w:szCs w:val="24"/>
        </w:rPr>
        <w:t xml:space="preserve">: </w:t>
      </w:r>
      <w:r w:rsidRPr="001269A5">
        <w:rPr>
          <w:rFonts w:ascii="Gill Sans MT" w:hAnsi="Gill Sans MT"/>
          <w:sz w:val="24"/>
          <w:szCs w:val="24"/>
        </w:rPr>
        <w:t>306,3 milhões de euros</w:t>
      </w:r>
    </w:p>
    <w:p w:rsidR="00B54B1E" w:rsidRPr="001269A5" w:rsidRDefault="00B54B1E" w:rsidP="00B54B1E">
      <w:pPr>
        <w:spacing w:line="360" w:lineRule="auto"/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Desvio de Recuperação de Gastos: </w:t>
      </w:r>
      <w:r w:rsidRPr="001269A5">
        <w:rPr>
          <w:rFonts w:ascii="Gill Sans MT" w:hAnsi="Gill Sans MT"/>
          <w:sz w:val="24"/>
          <w:szCs w:val="24"/>
        </w:rPr>
        <w:t>36,2 milhões de euros</w:t>
      </w:r>
    </w:p>
    <w:p w:rsidR="00B54B1E" w:rsidRPr="001269A5" w:rsidRDefault="00B54B1E" w:rsidP="00B54B1E">
      <w:pPr>
        <w:spacing w:line="360" w:lineRule="auto"/>
        <w:jc w:val="left"/>
        <w:rPr>
          <w:rFonts w:ascii="Gill Sans MT" w:hAnsi="Gill Sans MT"/>
          <w:sz w:val="24"/>
          <w:szCs w:val="24"/>
        </w:rPr>
      </w:pPr>
      <w:r w:rsidRPr="001269A5">
        <w:rPr>
          <w:rFonts w:ascii="Gill Sans MT" w:hAnsi="Gill Sans MT"/>
          <w:sz w:val="24"/>
          <w:szCs w:val="24"/>
        </w:rPr>
        <w:t>Redução do endividamento</w:t>
      </w:r>
      <w:r>
        <w:rPr>
          <w:rFonts w:ascii="Gill Sans MT" w:hAnsi="Gill Sans MT"/>
          <w:sz w:val="24"/>
          <w:szCs w:val="24"/>
        </w:rPr>
        <w:t xml:space="preserve"> líquido: 100</w:t>
      </w:r>
      <w:r w:rsidRPr="001269A5">
        <w:rPr>
          <w:rFonts w:ascii="Gill Sans MT" w:hAnsi="Gill Sans MT"/>
          <w:sz w:val="24"/>
          <w:szCs w:val="24"/>
        </w:rPr>
        <w:t xml:space="preserve"> milhões de euros</w:t>
      </w:r>
    </w:p>
    <w:p w:rsidR="001269A5" w:rsidRPr="001269A5" w:rsidRDefault="001269A5" w:rsidP="001269A5">
      <w:pPr>
        <w:spacing w:line="360" w:lineRule="auto"/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Resultado Líquido: </w:t>
      </w:r>
      <w:r w:rsidRPr="001269A5">
        <w:rPr>
          <w:rFonts w:ascii="Gill Sans MT" w:hAnsi="Gill Sans MT"/>
          <w:sz w:val="24"/>
          <w:szCs w:val="24"/>
        </w:rPr>
        <w:t>70,8 milhões de euros</w:t>
      </w:r>
    </w:p>
    <w:p w:rsidR="005100B9" w:rsidRPr="001269A5" w:rsidRDefault="005100B9" w:rsidP="001269A5">
      <w:pPr>
        <w:pStyle w:val="titulodecapituloverde"/>
        <w:rPr>
          <w:color w:val="auto"/>
          <w:sz w:val="24"/>
        </w:rPr>
      </w:pPr>
      <w:r w:rsidRPr="001269A5">
        <w:rPr>
          <w:color w:val="auto"/>
          <w:sz w:val="24"/>
        </w:rPr>
        <w:lastRenderedPageBreak/>
        <w:t>Principais Indicadores</w:t>
      </w:r>
      <w:r w:rsidR="001269A5">
        <w:rPr>
          <w:color w:val="auto"/>
          <w:sz w:val="24"/>
        </w:rPr>
        <w:t xml:space="preserve"> de Atividade em 2016</w:t>
      </w:r>
    </w:p>
    <w:p w:rsidR="006B666C" w:rsidRPr="001269A5" w:rsidRDefault="006B666C" w:rsidP="006B666C">
      <w:pPr>
        <w:pStyle w:val="titulodecapituloverde"/>
        <w:spacing w:before="0" w:after="0" w:line="240" w:lineRule="auto"/>
        <w:rPr>
          <w:b w:val="0"/>
          <w:color w:val="auto"/>
          <w:sz w:val="24"/>
        </w:rPr>
      </w:pPr>
      <w:r w:rsidRPr="001269A5">
        <w:rPr>
          <w:b w:val="0"/>
          <w:color w:val="auto"/>
          <w:sz w:val="24"/>
        </w:rPr>
        <w:t>94% Taxa de cobertura em “alta” abastecimento de água</w:t>
      </w:r>
      <w:bookmarkEnd w:id="5"/>
      <w:r w:rsidRPr="001269A5">
        <w:rPr>
          <w:b w:val="0"/>
          <w:color w:val="auto"/>
          <w:sz w:val="24"/>
        </w:rPr>
        <w:t xml:space="preserve"> </w:t>
      </w:r>
    </w:p>
    <w:p w:rsidR="006B666C" w:rsidRPr="001269A5" w:rsidRDefault="006B666C" w:rsidP="006B666C">
      <w:pPr>
        <w:pStyle w:val="titulodecapituloverde"/>
        <w:spacing w:before="0" w:after="0" w:line="240" w:lineRule="auto"/>
        <w:rPr>
          <w:b w:val="0"/>
          <w:color w:val="auto"/>
          <w:sz w:val="24"/>
        </w:rPr>
      </w:pPr>
    </w:p>
    <w:p w:rsidR="006B666C" w:rsidRPr="001269A5" w:rsidRDefault="006B666C" w:rsidP="006B666C">
      <w:pPr>
        <w:pStyle w:val="titulodecapituloverde"/>
        <w:spacing w:before="0" w:after="0" w:line="240" w:lineRule="auto"/>
        <w:rPr>
          <w:b w:val="0"/>
          <w:color w:val="auto"/>
          <w:sz w:val="24"/>
        </w:rPr>
      </w:pPr>
      <w:bookmarkStart w:id="6" w:name="_Toc481168013"/>
      <w:bookmarkStart w:id="7" w:name="_Toc480825745"/>
      <w:bookmarkStart w:id="8" w:name="_Toc481034030"/>
      <w:r w:rsidRPr="001269A5">
        <w:rPr>
          <w:b w:val="0"/>
          <w:color w:val="auto"/>
          <w:sz w:val="24"/>
        </w:rPr>
        <w:t xml:space="preserve">93% Taxa de cobertura em “alta” </w:t>
      </w:r>
      <w:bookmarkEnd w:id="6"/>
      <w:r w:rsidR="00B54B1E">
        <w:rPr>
          <w:b w:val="0"/>
          <w:color w:val="auto"/>
          <w:sz w:val="24"/>
        </w:rPr>
        <w:t>de saneamento</w:t>
      </w:r>
      <w:r w:rsidRPr="001269A5">
        <w:rPr>
          <w:b w:val="0"/>
          <w:color w:val="auto"/>
          <w:sz w:val="24"/>
        </w:rPr>
        <w:t xml:space="preserve"> </w:t>
      </w:r>
      <w:bookmarkStart w:id="9" w:name="_Toc480825746"/>
      <w:bookmarkStart w:id="10" w:name="_Toc481034031"/>
      <w:bookmarkEnd w:id="7"/>
      <w:bookmarkEnd w:id="8"/>
    </w:p>
    <w:p w:rsidR="006B666C" w:rsidRPr="001269A5" w:rsidRDefault="006B666C" w:rsidP="006B666C">
      <w:pPr>
        <w:pStyle w:val="titulodecapituloverde"/>
        <w:spacing w:before="0" w:after="0" w:line="240" w:lineRule="auto"/>
        <w:rPr>
          <w:b w:val="0"/>
          <w:color w:val="auto"/>
          <w:sz w:val="24"/>
        </w:rPr>
      </w:pPr>
    </w:p>
    <w:p w:rsidR="006B666C" w:rsidRPr="001269A5" w:rsidRDefault="006B666C" w:rsidP="006B666C">
      <w:pPr>
        <w:pStyle w:val="titulodecapituloverde"/>
        <w:spacing w:before="0" w:after="0" w:line="240" w:lineRule="auto"/>
        <w:rPr>
          <w:b w:val="0"/>
          <w:color w:val="auto"/>
          <w:sz w:val="24"/>
        </w:rPr>
      </w:pPr>
      <w:bookmarkStart w:id="11" w:name="_Toc481168014"/>
      <w:r w:rsidRPr="001269A5">
        <w:rPr>
          <w:b w:val="0"/>
          <w:color w:val="auto"/>
          <w:sz w:val="24"/>
        </w:rPr>
        <w:t xml:space="preserve">583 </w:t>
      </w:r>
      <w:proofErr w:type="gramStart"/>
      <w:r w:rsidRPr="001269A5">
        <w:rPr>
          <w:b w:val="0"/>
          <w:color w:val="auto"/>
          <w:sz w:val="24"/>
        </w:rPr>
        <w:t>milhões</w:t>
      </w:r>
      <w:proofErr w:type="gramEnd"/>
      <w:r w:rsidRPr="001269A5">
        <w:rPr>
          <w:b w:val="0"/>
          <w:color w:val="auto"/>
          <w:sz w:val="24"/>
        </w:rPr>
        <w:t xml:space="preserve"> de m</w:t>
      </w:r>
      <w:r w:rsidRPr="001269A5">
        <w:rPr>
          <w:b w:val="0"/>
          <w:color w:val="auto"/>
          <w:sz w:val="24"/>
          <w:vertAlign w:val="superscript"/>
        </w:rPr>
        <w:t>3</w:t>
      </w:r>
      <w:r w:rsidRPr="001269A5">
        <w:rPr>
          <w:b w:val="0"/>
          <w:color w:val="auto"/>
          <w:sz w:val="24"/>
        </w:rPr>
        <w:t xml:space="preserve"> de água faturada</w:t>
      </w:r>
      <w:bookmarkEnd w:id="11"/>
    </w:p>
    <w:p w:rsidR="006B666C" w:rsidRPr="001269A5" w:rsidRDefault="006B666C" w:rsidP="006B666C">
      <w:pPr>
        <w:pStyle w:val="titulodecapituloverde"/>
        <w:spacing w:before="0" w:after="0" w:line="240" w:lineRule="auto"/>
        <w:rPr>
          <w:b w:val="0"/>
          <w:color w:val="auto"/>
          <w:sz w:val="24"/>
        </w:rPr>
      </w:pPr>
    </w:p>
    <w:p w:rsidR="006B666C" w:rsidRPr="001269A5" w:rsidRDefault="006B666C" w:rsidP="006B666C">
      <w:pPr>
        <w:pStyle w:val="titulodecapituloverde"/>
        <w:spacing w:before="0" w:after="0" w:line="240" w:lineRule="auto"/>
        <w:rPr>
          <w:b w:val="0"/>
          <w:color w:val="auto"/>
          <w:sz w:val="24"/>
        </w:rPr>
      </w:pPr>
      <w:bookmarkStart w:id="12" w:name="_Toc481168015"/>
      <w:r w:rsidRPr="001269A5">
        <w:rPr>
          <w:b w:val="0"/>
          <w:color w:val="auto"/>
          <w:sz w:val="24"/>
        </w:rPr>
        <w:t xml:space="preserve">476 </w:t>
      </w:r>
      <w:proofErr w:type="gramStart"/>
      <w:r w:rsidRPr="001269A5">
        <w:rPr>
          <w:b w:val="0"/>
          <w:color w:val="auto"/>
          <w:sz w:val="24"/>
        </w:rPr>
        <w:t>milhões</w:t>
      </w:r>
      <w:proofErr w:type="gramEnd"/>
      <w:r w:rsidRPr="001269A5">
        <w:rPr>
          <w:b w:val="0"/>
          <w:color w:val="auto"/>
          <w:sz w:val="24"/>
        </w:rPr>
        <w:t xml:space="preserve"> de m</w:t>
      </w:r>
      <w:r w:rsidRPr="001269A5">
        <w:rPr>
          <w:b w:val="0"/>
          <w:color w:val="auto"/>
          <w:sz w:val="24"/>
          <w:vertAlign w:val="superscript"/>
        </w:rPr>
        <w:t>3</w:t>
      </w:r>
      <w:r w:rsidRPr="001269A5">
        <w:rPr>
          <w:b w:val="0"/>
          <w:color w:val="auto"/>
          <w:sz w:val="24"/>
        </w:rPr>
        <w:t xml:space="preserve"> de águas residuais faturadas</w:t>
      </w:r>
      <w:bookmarkEnd w:id="12"/>
    </w:p>
    <w:p w:rsidR="006B666C" w:rsidRPr="001269A5" w:rsidRDefault="006B666C" w:rsidP="006B666C">
      <w:pPr>
        <w:pStyle w:val="titulodecapituloverde"/>
        <w:spacing w:before="0" w:after="0" w:line="240" w:lineRule="auto"/>
        <w:rPr>
          <w:b w:val="0"/>
          <w:color w:val="auto"/>
          <w:sz w:val="24"/>
        </w:rPr>
      </w:pPr>
    </w:p>
    <w:p w:rsidR="006B666C" w:rsidRPr="001269A5" w:rsidRDefault="006B666C" w:rsidP="006B666C">
      <w:pPr>
        <w:pStyle w:val="titulodecapituloverde"/>
        <w:spacing w:before="0" w:after="0" w:line="240" w:lineRule="auto"/>
        <w:rPr>
          <w:b w:val="0"/>
          <w:color w:val="auto"/>
          <w:sz w:val="24"/>
        </w:rPr>
      </w:pPr>
      <w:bookmarkStart w:id="13" w:name="_Toc481168016"/>
      <w:r w:rsidRPr="001269A5">
        <w:rPr>
          <w:b w:val="0"/>
          <w:color w:val="auto"/>
          <w:sz w:val="24"/>
        </w:rPr>
        <w:t>70</w:t>
      </w:r>
      <w:r w:rsidR="00B54B1E">
        <w:rPr>
          <w:b w:val="0"/>
          <w:color w:val="auto"/>
          <w:sz w:val="24"/>
        </w:rPr>
        <w:t>4</w:t>
      </w:r>
      <w:r w:rsidRPr="001269A5">
        <w:rPr>
          <w:b w:val="0"/>
          <w:color w:val="auto"/>
          <w:sz w:val="24"/>
        </w:rPr>
        <w:t xml:space="preserve"> </w:t>
      </w:r>
      <w:proofErr w:type="spellStart"/>
      <w:r w:rsidR="00B54B1E">
        <w:rPr>
          <w:b w:val="0"/>
          <w:color w:val="auto"/>
          <w:sz w:val="24"/>
        </w:rPr>
        <w:t>G</w:t>
      </w:r>
      <w:r w:rsidRPr="001269A5">
        <w:rPr>
          <w:b w:val="0"/>
          <w:color w:val="auto"/>
          <w:sz w:val="24"/>
        </w:rPr>
        <w:t>Wh</w:t>
      </w:r>
      <w:proofErr w:type="spellEnd"/>
      <w:r w:rsidRPr="001269A5">
        <w:rPr>
          <w:b w:val="0"/>
          <w:color w:val="auto"/>
          <w:sz w:val="24"/>
        </w:rPr>
        <w:t xml:space="preserve">/ano de energia </w:t>
      </w:r>
      <w:r w:rsidR="00B54B1E">
        <w:rPr>
          <w:b w:val="0"/>
          <w:color w:val="auto"/>
          <w:sz w:val="24"/>
        </w:rPr>
        <w:t xml:space="preserve">elétrica </w:t>
      </w:r>
      <w:r w:rsidRPr="001269A5">
        <w:rPr>
          <w:b w:val="0"/>
          <w:color w:val="auto"/>
          <w:sz w:val="24"/>
        </w:rPr>
        <w:t>consumida (inclui autoconsumo)</w:t>
      </w:r>
      <w:bookmarkEnd w:id="13"/>
    </w:p>
    <w:p w:rsidR="006B666C" w:rsidRPr="001269A5" w:rsidRDefault="006B666C" w:rsidP="006B666C">
      <w:pPr>
        <w:pStyle w:val="titulodecapituloverde"/>
        <w:spacing w:before="0" w:after="0" w:line="240" w:lineRule="auto"/>
        <w:rPr>
          <w:b w:val="0"/>
          <w:color w:val="auto"/>
          <w:sz w:val="24"/>
        </w:rPr>
      </w:pPr>
    </w:p>
    <w:p w:rsidR="006B666C" w:rsidRPr="001269A5" w:rsidRDefault="006B666C" w:rsidP="006B666C">
      <w:pPr>
        <w:pStyle w:val="titulodecapituloverde"/>
        <w:spacing w:before="0" w:after="0" w:line="240" w:lineRule="auto"/>
        <w:rPr>
          <w:b w:val="0"/>
          <w:color w:val="auto"/>
          <w:sz w:val="24"/>
        </w:rPr>
      </w:pPr>
      <w:bookmarkStart w:id="14" w:name="_Toc481168017"/>
      <w:r w:rsidRPr="001269A5">
        <w:rPr>
          <w:b w:val="0"/>
          <w:color w:val="auto"/>
          <w:sz w:val="24"/>
        </w:rPr>
        <w:t>24</w:t>
      </w:r>
      <w:r w:rsidR="00B54B1E">
        <w:rPr>
          <w:b w:val="0"/>
          <w:color w:val="auto"/>
          <w:sz w:val="24"/>
        </w:rPr>
        <w:t>,4</w:t>
      </w:r>
      <w:r w:rsidRPr="001269A5">
        <w:rPr>
          <w:b w:val="0"/>
          <w:color w:val="auto"/>
          <w:sz w:val="24"/>
        </w:rPr>
        <w:t xml:space="preserve"> </w:t>
      </w:r>
      <w:proofErr w:type="spellStart"/>
      <w:r w:rsidR="00B54B1E">
        <w:rPr>
          <w:b w:val="0"/>
          <w:color w:val="auto"/>
          <w:sz w:val="24"/>
        </w:rPr>
        <w:t>G</w:t>
      </w:r>
      <w:r w:rsidRPr="001269A5">
        <w:rPr>
          <w:b w:val="0"/>
          <w:color w:val="auto"/>
          <w:sz w:val="24"/>
        </w:rPr>
        <w:t>Wh</w:t>
      </w:r>
      <w:proofErr w:type="spellEnd"/>
      <w:r w:rsidRPr="001269A5">
        <w:rPr>
          <w:b w:val="0"/>
          <w:color w:val="auto"/>
          <w:sz w:val="24"/>
        </w:rPr>
        <w:t>/ano de energia produzida (fotovoltaica, mini-hídrica, biogás)</w:t>
      </w:r>
      <w:bookmarkEnd w:id="14"/>
    </w:p>
    <w:bookmarkEnd w:id="9"/>
    <w:bookmarkEnd w:id="10"/>
    <w:p w:rsidR="0078311A" w:rsidRPr="00B23781" w:rsidRDefault="0078311A">
      <w:pPr>
        <w:rPr>
          <w:rFonts w:ascii="Gill Sans MT" w:hAnsi="Gill Sans MT"/>
          <w:sz w:val="24"/>
          <w:szCs w:val="24"/>
        </w:rPr>
      </w:pPr>
    </w:p>
    <w:sectPr w:rsidR="0078311A" w:rsidRPr="00B23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Pro Light">
    <w:panose1 w:val="020B0302020104020203"/>
    <w:charset w:val="00"/>
    <w:family w:val="swiss"/>
    <w:notTrueType/>
    <w:pitch w:val="variable"/>
    <w:sig w:usb0="00000087" w:usb1="00000000" w:usb2="00000000" w:usb3="00000000" w:csb0="0000009B" w:csb1="00000000"/>
  </w:font>
  <w:font w:name="Gill Sans MT Pro Medium">
    <w:panose1 w:val="020B0602020104020203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6C89"/>
    <w:multiLevelType w:val="hybridMultilevel"/>
    <w:tmpl w:val="B52858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A0DB0"/>
    <w:multiLevelType w:val="hybridMultilevel"/>
    <w:tmpl w:val="A7A0512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B86FEA"/>
    <w:multiLevelType w:val="hybridMultilevel"/>
    <w:tmpl w:val="8962F864"/>
    <w:lvl w:ilvl="0" w:tplc="8CC62CC0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F01C3"/>
    <w:multiLevelType w:val="hybridMultilevel"/>
    <w:tmpl w:val="853CEB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8663C"/>
    <w:multiLevelType w:val="hybridMultilevel"/>
    <w:tmpl w:val="CB7623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1A"/>
    <w:rsid w:val="000454D2"/>
    <w:rsid w:val="000E2B37"/>
    <w:rsid w:val="000F0FF3"/>
    <w:rsid w:val="001269A5"/>
    <w:rsid w:val="00184105"/>
    <w:rsid w:val="001C2B18"/>
    <w:rsid w:val="002662E5"/>
    <w:rsid w:val="002F1857"/>
    <w:rsid w:val="00332FB8"/>
    <w:rsid w:val="00375280"/>
    <w:rsid w:val="0042710F"/>
    <w:rsid w:val="004934DC"/>
    <w:rsid w:val="005100B9"/>
    <w:rsid w:val="005104F6"/>
    <w:rsid w:val="0055148B"/>
    <w:rsid w:val="005F6038"/>
    <w:rsid w:val="006B666C"/>
    <w:rsid w:val="006C5CC8"/>
    <w:rsid w:val="00705934"/>
    <w:rsid w:val="00706794"/>
    <w:rsid w:val="00733B6E"/>
    <w:rsid w:val="0078311A"/>
    <w:rsid w:val="008227ED"/>
    <w:rsid w:val="00970F2A"/>
    <w:rsid w:val="00AA69BD"/>
    <w:rsid w:val="00B14E6C"/>
    <w:rsid w:val="00B23781"/>
    <w:rsid w:val="00B54B1E"/>
    <w:rsid w:val="00C53E49"/>
    <w:rsid w:val="00CA5710"/>
    <w:rsid w:val="00CE5347"/>
    <w:rsid w:val="00E153C6"/>
    <w:rsid w:val="00F04EDB"/>
    <w:rsid w:val="00FB5287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FAC78-C1E0-46ED-BD24-5C6C905C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11A"/>
    <w:pPr>
      <w:spacing w:before="120" w:after="120" w:line="260" w:lineRule="exact"/>
      <w:jc w:val="both"/>
    </w:pPr>
    <w:rPr>
      <w:rFonts w:ascii="Gill Sans MT Pro Light" w:hAnsi="Gill Sans MT Pro Light"/>
      <w:sz w:val="20"/>
    </w:rPr>
  </w:style>
  <w:style w:type="paragraph" w:styleId="Heading1">
    <w:name w:val="heading 1"/>
    <w:aliases w:val="Título de entrada"/>
    <w:basedOn w:val="Normal"/>
    <w:next w:val="Normal"/>
    <w:link w:val="Heading1Char"/>
    <w:uiPriority w:val="9"/>
    <w:qFormat/>
    <w:rsid w:val="008227ED"/>
    <w:pPr>
      <w:keepNext/>
      <w:keepLines/>
      <w:spacing w:before="240" w:after="0" w:line="360" w:lineRule="exact"/>
      <w:outlineLvl w:val="0"/>
    </w:pPr>
    <w:rPr>
      <w:rFonts w:ascii="Gill Sans MT Pro Medium" w:eastAsiaTheme="majorEastAsia" w:hAnsi="Gill Sans MT Pro Medium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52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de entrada Char"/>
    <w:basedOn w:val="DefaultParagraphFont"/>
    <w:link w:val="Heading1"/>
    <w:uiPriority w:val="9"/>
    <w:rsid w:val="008227ED"/>
    <w:rPr>
      <w:rFonts w:ascii="Gill Sans MT Pro Medium" w:eastAsiaTheme="majorEastAsia" w:hAnsi="Gill Sans MT Pro Medium" w:cstheme="majorBidi"/>
      <w:color w:val="000000" w:themeColor="text1"/>
      <w:sz w:val="32"/>
      <w:szCs w:val="32"/>
    </w:rPr>
  </w:style>
  <w:style w:type="paragraph" w:customStyle="1" w:styleId="titulodecapituloverde">
    <w:name w:val="titulo de capitulo verde"/>
    <w:basedOn w:val="Normal"/>
    <w:link w:val="titulodecapituloverdeChar"/>
    <w:qFormat/>
    <w:rsid w:val="008227ED"/>
    <w:pPr>
      <w:spacing w:line="660" w:lineRule="exact"/>
      <w:jc w:val="left"/>
    </w:pPr>
    <w:rPr>
      <w:rFonts w:ascii="Gill Sans MT" w:hAnsi="Gill Sans MT"/>
      <w:b/>
      <w:color w:val="9ACA3C"/>
      <w:sz w:val="48"/>
      <w:szCs w:val="24"/>
    </w:rPr>
  </w:style>
  <w:style w:type="character" w:customStyle="1" w:styleId="titulodecapituloverdeChar">
    <w:name w:val="titulo de capitulo verde Char"/>
    <w:basedOn w:val="DefaultParagraphFont"/>
    <w:link w:val="titulodecapituloverde"/>
    <w:rsid w:val="008227ED"/>
    <w:rPr>
      <w:rFonts w:ascii="Gill Sans MT" w:hAnsi="Gill Sans MT"/>
      <w:b/>
      <w:color w:val="9ACA3C"/>
      <w:sz w:val="4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227ED"/>
    <w:pPr>
      <w:spacing w:before="0"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27ED"/>
  </w:style>
  <w:style w:type="character" w:customStyle="1" w:styleId="Heading2Char">
    <w:name w:val="Heading 2 Char"/>
    <w:basedOn w:val="DefaultParagraphFont"/>
    <w:link w:val="Heading2"/>
    <w:uiPriority w:val="9"/>
    <w:semiHidden/>
    <w:rsid w:val="003752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FF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0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FF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FF3"/>
    <w:rPr>
      <w:rFonts w:ascii="Gill Sans MT Pro Light" w:hAnsi="Gill Sans MT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FF3"/>
    <w:rPr>
      <w:rFonts w:ascii="Gill Sans MT Pro Light" w:hAnsi="Gill Sans MT Pro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Águas de Portugal Serviços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Luz</dc:creator>
  <cp:keywords/>
  <dc:description/>
  <cp:lastModifiedBy>Elsa Luz</cp:lastModifiedBy>
  <cp:revision>3</cp:revision>
  <cp:lastPrinted>2017-05-29T12:03:00Z</cp:lastPrinted>
  <dcterms:created xsi:type="dcterms:W3CDTF">2017-05-29T12:19:00Z</dcterms:created>
  <dcterms:modified xsi:type="dcterms:W3CDTF">2017-05-29T12:21:00Z</dcterms:modified>
</cp:coreProperties>
</file>