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B9" w:rsidRDefault="00BC66B9" w:rsidP="002F5F9B">
      <w:pPr>
        <w:spacing w:line="360" w:lineRule="auto"/>
        <w:jc w:val="center"/>
        <w:rPr>
          <w:rFonts w:ascii="Gill Sans MT" w:hAnsi="Gill Sans MT" w:cs="Arial"/>
          <w:b/>
          <w:bCs/>
        </w:rPr>
      </w:pPr>
    </w:p>
    <w:p w:rsidR="008F5365" w:rsidRPr="0035152B" w:rsidRDefault="00803887" w:rsidP="002F5F9B">
      <w:pPr>
        <w:spacing w:line="360" w:lineRule="auto"/>
        <w:jc w:val="center"/>
        <w:rPr>
          <w:rFonts w:ascii="Gill Sans MT" w:hAnsi="Gill Sans MT" w:cs="Arial"/>
          <w:b/>
          <w:bCs/>
        </w:rPr>
      </w:pPr>
      <w:r w:rsidRPr="0035152B">
        <w:rPr>
          <w:rFonts w:ascii="Gill Sans MT" w:hAnsi="Gill Sans MT" w:cs="Arial"/>
          <w:b/>
          <w:bCs/>
        </w:rPr>
        <w:t>Comunicado</w:t>
      </w:r>
    </w:p>
    <w:p w:rsidR="008F5365" w:rsidRPr="0035152B" w:rsidRDefault="008F5365" w:rsidP="002F5F9B">
      <w:pPr>
        <w:spacing w:line="360" w:lineRule="auto"/>
        <w:jc w:val="both"/>
        <w:rPr>
          <w:rFonts w:ascii="Gill Sans MT" w:hAnsi="Gill Sans MT" w:cs="Arial"/>
          <w:bCs/>
          <w:u w:val="single"/>
        </w:rPr>
      </w:pPr>
    </w:p>
    <w:p w:rsidR="00D15D42" w:rsidRDefault="00B94E7B" w:rsidP="00B94E7B">
      <w:pPr>
        <w:spacing w:after="240" w:line="320" w:lineRule="atLeast"/>
        <w:jc w:val="center"/>
        <w:rPr>
          <w:rFonts w:ascii="Gill Sans MT" w:hAnsi="Gill Sans MT"/>
          <w:sz w:val="28"/>
          <w:szCs w:val="24"/>
          <w:u w:val="single"/>
        </w:rPr>
      </w:pPr>
      <w:r>
        <w:rPr>
          <w:rFonts w:ascii="Gill Sans MT" w:hAnsi="Gill Sans MT"/>
          <w:b/>
          <w:bCs/>
          <w:sz w:val="40"/>
          <w:szCs w:val="40"/>
        </w:rPr>
        <w:t>Assembl</w:t>
      </w:r>
      <w:r w:rsidR="00732868">
        <w:rPr>
          <w:rFonts w:ascii="Gill Sans MT" w:hAnsi="Gill Sans MT"/>
          <w:b/>
          <w:bCs/>
          <w:sz w:val="40"/>
          <w:szCs w:val="40"/>
        </w:rPr>
        <w:t>eia Geral de Acionistas aprova</w:t>
      </w:r>
      <w:r>
        <w:rPr>
          <w:rFonts w:ascii="Gill Sans MT" w:hAnsi="Gill Sans MT"/>
          <w:b/>
          <w:bCs/>
          <w:sz w:val="40"/>
          <w:szCs w:val="40"/>
        </w:rPr>
        <w:t xml:space="preserve"> contas consolidadas de 2019 </w:t>
      </w:r>
    </w:p>
    <w:p w:rsidR="001F4BD9" w:rsidRPr="00585966" w:rsidRDefault="00585966" w:rsidP="00114629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 w:rsidRPr="00585966">
        <w:rPr>
          <w:rFonts w:ascii="Gill Sans MT" w:hAnsi="Gill Sans MT"/>
          <w:b/>
          <w:sz w:val="24"/>
          <w:szCs w:val="24"/>
        </w:rPr>
        <w:t>Lisboa, 24 de abril de 2020</w:t>
      </w:r>
      <w:r>
        <w:rPr>
          <w:rFonts w:ascii="Gill Sans MT" w:hAnsi="Gill Sans MT"/>
          <w:sz w:val="24"/>
          <w:szCs w:val="24"/>
        </w:rPr>
        <w:t xml:space="preserve"> - </w:t>
      </w:r>
      <w:r w:rsidR="005B6B4B" w:rsidRPr="00585966">
        <w:rPr>
          <w:rFonts w:ascii="Gill Sans MT" w:hAnsi="Gill Sans MT"/>
          <w:sz w:val="24"/>
          <w:szCs w:val="24"/>
        </w:rPr>
        <w:t>A</w:t>
      </w:r>
      <w:r w:rsidR="00DE77C3" w:rsidRPr="00585966">
        <w:rPr>
          <w:rFonts w:ascii="Gill Sans MT" w:hAnsi="Gill Sans MT"/>
          <w:sz w:val="24"/>
          <w:szCs w:val="24"/>
        </w:rPr>
        <w:t xml:space="preserve"> Assembleia Geral de Acionistas da</w:t>
      </w:r>
      <w:r w:rsidR="005B6B4B" w:rsidRPr="00585966">
        <w:rPr>
          <w:rFonts w:ascii="Gill Sans MT" w:hAnsi="Gill Sans MT"/>
          <w:sz w:val="24"/>
          <w:szCs w:val="24"/>
        </w:rPr>
        <w:t xml:space="preserve"> AdP - Águas de Portugal</w:t>
      </w:r>
      <w:r w:rsidR="00B533FF" w:rsidRPr="00585966">
        <w:rPr>
          <w:rFonts w:ascii="Gill Sans MT" w:hAnsi="Gill Sans MT"/>
          <w:sz w:val="24"/>
          <w:szCs w:val="24"/>
        </w:rPr>
        <w:t>, SGPS</w:t>
      </w:r>
      <w:r w:rsidR="00C12333" w:rsidRPr="00585966">
        <w:rPr>
          <w:rFonts w:ascii="Gill Sans MT" w:hAnsi="Gill Sans MT"/>
          <w:sz w:val="24"/>
          <w:szCs w:val="24"/>
        </w:rPr>
        <w:t>,</w:t>
      </w:r>
      <w:r w:rsidR="00B533FF" w:rsidRPr="00585966">
        <w:rPr>
          <w:rFonts w:ascii="Gill Sans MT" w:hAnsi="Gill Sans MT"/>
          <w:sz w:val="24"/>
          <w:szCs w:val="24"/>
        </w:rPr>
        <w:t xml:space="preserve"> S</w:t>
      </w:r>
      <w:r w:rsidR="00C12333" w:rsidRPr="00585966">
        <w:rPr>
          <w:rFonts w:ascii="Gill Sans MT" w:hAnsi="Gill Sans MT"/>
          <w:sz w:val="24"/>
          <w:szCs w:val="24"/>
        </w:rPr>
        <w:t>.</w:t>
      </w:r>
      <w:r w:rsidR="00B533FF" w:rsidRPr="00585966">
        <w:rPr>
          <w:rFonts w:ascii="Gill Sans MT" w:hAnsi="Gill Sans MT"/>
          <w:sz w:val="24"/>
          <w:szCs w:val="24"/>
        </w:rPr>
        <w:t>A</w:t>
      </w:r>
      <w:r w:rsidR="00C12333" w:rsidRPr="00585966">
        <w:rPr>
          <w:rFonts w:ascii="Gill Sans MT" w:hAnsi="Gill Sans MT"/>
          <w:sz w:val="24"/>
          <w:szCs w:val="24"/>
        </w:rPr>
        <w:t>.</w:t>
      </w:r>
      <w:r w:rsidR="00B533FF" w:rsidRPr="00585966">
        <w:rPr>
          <w:rFonts w:ascii="Gill Sans MT" w:hAnsi="Gill Sans MT"/>
          <w:sz w:val="24"/>
          <w:szCs w:val="24"/>
        </w:rPr>
        <w:t xml:space="preserve"> aprovou</w:t>
      </w:r>
      <w:r w:rsidR="00DE77C3" w:rsidRPr="00585966">
        <w:rPr>
          <w:rFonts w:ascii="Gill Sans MT" w:hAnsi="Gill Sans MT"/>
          <w:sz w:val="24"/>
          <w:szCs w:val="24"/>
        </w:rPr>
        <w:t xml:space="preserve"> </w:t>
      </w:r>
      <w:r w:rsidR="00732868" w:rsidRPr="00585966">
        <w:rPr>
          <w:rFonts w:ascii="Gill Sans MT" w:hAnsi="Gill Sans MT"/>
          <w:sz w:val="24"/>
          <w:szCs w:val="24"/>
        </w:rPr>
        <w:t>hoje</w:t>
      </w:r>
      <w:r w:rsidR="00280092" w:rsidRPr="00585966">
        <w:rPr>
          <w:rFonts w:ascii="Gill Sans MT" w:hAnsi="Gill Sans MT"/>
          <w:sz w:val="24"/>
          <w:szCs w:val="24"/>
        </w:rPr>
        <w:t xml:space="preserve"> o relatório e</w:t>
      </w:r>
      <w:r w:rsidR="00732868" w:rsidRPr="00585966">
        <w:rPr>
          <w:rFonts w:ascii="Gill Sans MT" w:hAnsi="Gill Sans MT"/>
          <w:sz w:val="24"/>
          <w:szCs w:val="24"/>
        </w:rPr>
        <w:t xml:space="preserve"> </w:t>
      </w:r>
      <w:r w:rsidR="00B533FF" w:rsidRPr="00585966">
        <w:rPr>
          <w:rFonts w:ascii="Gill Sans MT" w:hAnsi="Gill Sans MT"/>
          <w:sz w:val="24"/>
          <w:szCs w:val="24"/>
        </w:rPr>
        <w:t>as c</w:t>
      </w:r>
      <w:r w:rsidR="00770B1B" w:rsidRPr="00585966">
        <w:rPr>
          <w:rFonts w:ascii="Gill Sans MT" w:hAnsi="Gill Sans MT"/>
          <w:sz w:val="24"/>
          <w:szCs w:val="24"/>
        </w:rPr>
        <w:t xml:space="preserve">ontas </w:t>
      </w:r>
      <w:r w:rsidR="00B533FF" w:rsidRPr="00585966">
        <w:rPr>
          <w:rFonts w:ascii="Gill Sans MT" w:hAnsi="Gill Sans MT"/>
          <w:sz w:val="24"/>
          <w:szCs w:val="24"/>
        </w:rPr>
        <w:t xml:space="preserve">consolidadas </w:t>
      </w:r>
      <w:r w:rsidR="00770B1B" w:rsidRPr="00585966">
        <w:rPr>
          <w:rFonts w:ascii="Gill Sans MT" w:hAnsi="Gill Sans MT"/>
          <w:sz w:val="24"/>
          <w:szCs w:val="24"/>
        </w:rPr>
        <w:t>de 201</w:t>
      </w:r>
      <w:r w:rsidR="00732868" w:rsidRPr="00585966">
        <w:rPr>
          <w:rFonts w:ascii="Gill Sans MT" w:hAnsi="Gill Sans MT"/>
          <w:sz w:val="24"/>
          <w:szCs w:val="24"/>
        </w:rPr>
        <w:t xml:space="preserve">9. </w:t>
      </w:r>
    </w:p>
    <w:p w:rsidR="00585966" w:rsidRPr="00585966" w:rsidRDefault="00585966" w:rsidP="005E749D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</w:t>
      </w:r>
      <w:r w:rsidR="00280092">
        <w:rPr>
          <w:rFonts w:ascii="Gill Sans MT" w:hAnsi="Gill Sans MT"/>
          <w:sz w:val="24"/>
          <w:szCs w:val="24"/>
        </w:rPr>
        <w:t xml:space="preserve"> e</w:t>
      </w:r>
      <w:r w:rsidR="00207D71">
        <w:rPr>
          <w:rFonts w:ascii="Gill Sans MT" w:hAnsi="Gill Sans MT"/>
          <w:sz w:val="24"/>
          <w:szCs w:val="24"/>
        </w:rPr>
        <w:t>xercício económic</w:t>
      </w:r>
      <w:r w:rsidR="00280092">
        <w:rPr>
          <w:rFonts w:ascii="Gill Sans MT" w:hAnsi="Gill Sans MT"/>
          <w:sz w:val="24"/>
          <w:szCs w:val="24"/>
        </w:rPr>
        <w:t xml:space="preserve">o-financeiro </w:t>
      </w:r>
      <w:r w:rsidR="005E749D">
        <w:rPr>
          <w:rFonts w:ascii="Gill Sans MT" w:hAnsi="Gill Sans MT"/>
          <w:sz w:val="24"/>
          <w:szCs w:val="24"/>
        </w:rPr>
        <w:t xml:space="preserve">consolidado de 2019 </w:t>
      </w:r>
      <w:r w:rsidR="003167C5">
        <w:rPr>
          <w:rFonts w:ascii="Gill Sans MT" w:hAnsi="Gill Sans MT"/>
          <w:sz w:val="24"/>
          <w:szCs w:val="24"/>
        </w:rPr>
        <w:t xml:space="preserve">do Grupo AdP – Águas de Portugal </w:t>
      </w:r>
      <w:r w:rsidR="005E749D">
        <w:rPr>
          <w:rFonts w:ascii="Gill Sans MT" w:hAnsi="Gill Sans MT"/>
          <w:sz w:val="24"/>
          <w:szCs w:val="24"/>
        </w:rPr>
        <w:t>destaca</w:t>
      </w:r>
      <w:r w:rsidR="00280092">
        <w:rPr>
          <w:rFonts w:ascii="Gill Sans MT" w:hAnsi="Gill Sans MT"/>
          <w:sz w:val="24"/>
          <w:szCs w:val="24"/>
        </w:rPr>
        <w:t>-se</w:t>
      </w:r>
      <w:r w:rsidR="005E749D" w:rsidRPr="00C10259">
        <w:rPr>
          <w:rFonts w:ascii="Gill Sans MT" w:hAnsi="Gill Sans MT"/>
          <w:sz w:val="24"/>
          <w:szCs w:val="24"/>
        </w:rPr>
        <w:t xml:space="preserve"> </w:t>
      </w:r>
      <w:r w:rsidRPr="00585966">
        <w:rPr>
          <w:rFonts w:ascii="Gill Sans MT" w:hAnsi="Gill Sans MT"/>
          <w:sz w:val="24"/>
          <w:szCs w:val="24"/>
        </w:rPr>
        <w:t xml:space="preserve">pela redução de 38,1 milhões de euros no desvio de recuperação de gastos, bem como pela redução da dívida de clientes em 74,8 milhões de euros e do endividamento </w:t>
      </w:r>
      <w:r>
        <w:rPr>
          <w:rFonts w:ascii="Gill Sans MT" w:hAnsi="Gill Sans MT"/>
          <w:sz w:val="24"/>
          <w:szCs w:val="24"/>
        </w:rPr>
        <w:t xml:space="preserve">líquido </w:t>
      </w:r>
      <w:r w:rsidRPr="00585966">
        <w:rPr>
          <w:rFonts w:ascii="Gill Sans MT" w:hAnsi="Gill Sans MT"/>
          <w:sz w:val="24"/>
          <w:szCs w:val="24"/>
        </w:rPr>
        <w:t>em 7%, pese embora se tenha registado um significativo aumento do investimento que atingiu 142,6 milhões de euros.</w:t>
      </w:r>
    </w:p>
    <w:p w:rsidR="00585966" w:rsidRPr="00585966" w:rsidRDefault="00585966" w:rsidP="00585966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 w:rsidRPr="00585966">
        <w:rPr>
          <w:rFonts w:ascii="Gill Sans MT" w:hAnsi="Gill Sans MT"/>
          <w:sz w:val="24"/>
          <w:szCs w:val="24"/>
        </w:rPr>
        <w:t>Os indicadores registam um aumento do EBITDA, para 365,7 milhões de euros, tendo o resultado líquido reduzido em 5% em 2019, atingindo de 83,1 milhões de euros.</w:t>
      </w:r>
    </w:p>
    <w:p w:rsidR="0024018F" w:rsidRDefault="0024018F" w:rsidP="0024018F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 w:rsidRPr="0022785A">
        <w:rPr>
          <w:rFonts w:ascii="Gill Sans MT" w:hAnsi="Gill Sans MT"/>
          <w:sz w:val="24"/>
          <w:szCs w:val="24"/>
        </w:rPr>
        <w:t xml:space="preserve">Para o aumento sustentado do EBITDA concorre o incremento do volume de negócios em 33,1 milhões de euros (5%), </w:t>
      </w:r>
      <w:r w:rsidR="00563B70" w:rsidRPr="0022785A">
        <w:rPr>
          <w:rFonts w:ascii="Gill Sans MT" w:hAnsi="Gill Sans MT"/>
          <w:sz w:val="24"/>
          <w:szCs w:val="24"/>
        </w:rPr>
        <w:t xml:space="preserve">totalizando </w:t>
      </w:r>
      <w:r w:rsidRPr="0022785A">
        <w:rPr>
          <w:rFonts w:ascii="Gill Sans MT" w:hAnsi="Gill Sans MT"/>
          <w:sz w:val="24"/>
          <w:szCs w:val="24"/>
        </w:rPr>
        <w:t>691,5 milhões de euros</w:t>
      </w:r>
      <w:r w:rsidR="00563B70" w:rsidRPr="0022785A">
        <w:rPr>
          <w:rFonts w:ascii="Gill Sans MT" w:hAnsi="Gill Sans MT"/>
          <w:sz w:val="24"/>
          <w:szCs w:val="24"/>
        </w:rPr>
        <w:t xml:space="preserve"> em 2019</w:t>
      </w:r>
      <w:r w:rsidRPr="0022785A">
        <w:rPr>
          <w:rFonts w:ascii="Gill Sans MT" w:hAnsi="Gill Sans MT"/>
          <w:sz w:val="24"/>
          <w:szCs w:val="24"/>
        </w:rPr>
        <w:t>, e a consolidação dos gastos operacionais, cuja proporção no volume de negócios se situa agora nos 46,6%.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2C1F28" w:rsidRDefault="002C1F28" w:rsidP="002C1F28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Na atividade operacional, </w:t>
      </w:r>
      <w:r w:rsidRPr="002C1F28">
        <w:rPr>
          <w:rFonts w:ascii="Gill Sans MT" w:hAnsi="Gill Sans MT"/>
          <w:sz w:val="24"/>
          <w:szCs w:val="24"/>
        </w:rPr>
        <w:t>destaca</w:t>
      </w:r>
      <w:r w:rsidR="00585966">
        <w:rPr>
          <w:rFonts w:ascii="Gill Sans MT" w:hAnsi="Gill Sans MT"/>
          <w:sz w:val="24"/>
          <w:szCs w:val="24"/>
        </w:rPr>
        <w:t>m</w:t>
      </w:r>
      <w:r w:rsidRPr="002C1F28">
        <w:rPr>
          <w:rFonts w:ascii="Gill Sans MT" w:hAnsi="Gill Sans MT"/>
          <w:sz w:val="24"/>
          <w:szCs w:val="24"/>
        </w:rPr>
        <w:t xml:space="preserve">-se </w:t>
      </w:r>
      <w:r>
        <w:rPr>
          <w:rFonts w:ascii="Gill Sans MT" w:hAnsi="Gill Sans MT"/>
          <w:sz w:val="24"/>
          <w:szCs w:val="24"/>
        </w:rPr>
        <w:t xml:space="preserve">os investimentos </w:t>
      </w:r>
      <w:r w:rsidRPr="002C1F28">
        <w:rPr>
          <w:rFonts w:ascii="Gill Sans MT" w:hAnsi="Gill Sans MT"/>
          <w:sz w:val="24"/>
          <w:szCs w:val="24"/>
        </w:rPr>
        <w:t xml:space="preserve">para aumento de capacidade, resiliência e operacionalidade dos </w:t>
      </w:r>
      <w:r w:rsidR="00585966">
        <w:rPr>
          <w:rFonts w:ascii="Gill Sans MT" w:hAnsi="Gill Sans MT"/>
          <w:sz w:val="24"/>
          <w:szCs w:val="24"/>
        </w:rPr>
        <w:t>s</w:t>
      </w:r>
      <w:r w:rsidR="00585966" w:rsidRPr="002C1F28">
        <w:rPr>
          <w:rFonts w:ascii="Gill Sans MT" w:hAnsi="Gill Sans MT"/>
          <w:sz w:val="24"/>
          <w:szCs w:val="24"/>
        </w:rPr>
        <w:t>istemas de abastecimento de água</w:t>
      </w:r>
      <w:r w:rsidR="00585966">
        <w:rPr>
          <w:rFonts w:ascii="Gill Sans MT" w:hAnsi="Gill Sans MT"/>
          <w:sz w:val="24"/>
          <w:szCs w:val="24"/>
        </w:rPr>
        <w:t xml:space="preserve"> </w:t>
      </w:r>
      <w:r w:rsidRPr="002C1F28">
        <w:rPr>
          <w:rFonts w:ascii="Gill Sans MT" w:hAnsi="Gill Sans MT"/>
          <w:sz w:val="24"/>
          <w:szCs w:val="24"/>
        </w:rPr>
        <w:t xml:space="preserve">e </w:t>
      </w:r>
      <w:r w:rsidR="00585966">
        <w:rPr>
          <w:rFonts w:ascii="Gill Sans MT" w:hAnsi="Gill Sans MT"/>
          <w:sz w:val="24"/>
          <w:szCs w:val="24"/>
        </w:rPr>
        <w:t xml:space="preserve">de </w:t>
      </w:r>
      <w:r w:rsidRPr="002C1F28">
        <w:rPr>
          <w:rFonts w:ascii="Gill Sans MT" w:hAnsi="Gill Sans MT"/>
          <w:sz w:val="24"/>
          <w:szCs w:val="24"/>
        </w:rPr>
        <w:t xml:space="preserve">saneamento, </w:t>
      </w:r>
      <w:r w:rsidR="00585966">
        <w:rPr>
          <w:rFonts w:ascii="Gill Sans MT" w:hAnsi="Gill Sans MT"/>
          <w:sz w:val="24"/>
          <w:szCs w:val="24"/>
        </w:rPr>
        <w:t xml:space="preserve">com a </w:t>
      </w:r>
      <w:r w:rsidRPr="002C1F28">
        <w:rPr>
          <w:rFonts w:ascii="Gill Sans MT" w:hAnsi="Gill Sans MT"/>
          <w:sz w:val="24"/>
          <w:szCs w:val="24"/>
        </w:rPr>
        <w:t>entrada em operaç</w:t>
      </w:r>
      <w:r w:rsidR="00585966">
        <w:rPr>
          <w:rFonts w:ascii="Gill Sans MT" w:hAnsi="Gill Sans MT"/>
          <w:sz w:val="24"/>
          <w:szCs w:val="24"/>
        </w:rPr>
        <w:t>ão de novas infraestruturas e o</w:t>
      </w:r>
      <w:r>
        <w:rPr>
          <w:rFonts w:ascii="Gill Sans MT" w:hAnsi="Gill Sans MT"/>
          <w:sz w:val="24"/>
          <w:szCs w:val="24"/>
        </w:rPr>
        <w:t xml:space="preserve"> início de construção de outras, bem como </w:t>
      </w:r>
      <w:r w:rsidRPr="002C1F28">
        <w:rPr>
          <w:rFonts w:ascii="Gill Sans MT" w:hAnsi="Gill Sans MT"/>
          <w:sz w:val="24"/>
          <w:szCs w:val="24"/>
        </w:rPr>
        <w:t>a criação d</w:t>
      </w:r>
      <w:r>
        <w:rPr>
          <w:rFonts w:ascii="Gill Sans MT" w:hAnsi="Gill Sans MT"/>
          <w:sz w:val="24"/>
          <w:szCs w:val="24"/>
        </w:rPr>
        <w:t xml:space="preserve">e uma nova empresa </w:t>
      </w:r>
      <w:r w:rsidRPr="002C1F28">
        <w:rPr>
          <w:rFonts w:ascii="Gill Sans MT" w:hAnsi="Gill Sans MT"/>
          <w:sz w:val="24"/>
          <w:szCs w:val="24"/>
        </w:rPr>
        <w:t>para a exploração e gestão do sistema integrado de abastecimento de água e de saneamento do Alto Minho</w:t>
      </w:r>
      <w:r>
        <w:rPr>
          <w:rFonts w:ascii="Gill Sans MT" w:hAnsi="Gill Sans MT"/>
          <w:sz w:val="24"/>
          <w:szCs w:val="24"/>
        </w:rPr>
        <w:t xml:space="preserve"> criado no âmbito da parceria pública </w:t>
      </w:r>
      <w:r w:rsidRPr="002C1F28">
        <w:rPr>
          <w:rFonts w:ascii="Gill Sans MT" w:hAnsi="Gill Sans MT"/>
          <w:sz w:val="24"/>
          <w:szCs w:val="24"/>
        </w:rPr>
        <w:t xml:space="preserve">entre o Estado e </w:t>
      </w:r>
      <w:r>
        <w:rPr>
          <w:rFonts w:ascii="Gill Sans MT" w:hAnsi="Gill Sans MT"/>
          <w:sz w:val="24"/>
          <w:szCs w:val="24"/>
        </w:rPr>
        <w:t xml:space="preserve">sete </w:t>
      </w:r>
      <w:r w:rsidRPr="002C1F28">
        <w:rPr>
          <w:rFonts w:ascii="Gill Sans MT" w:hAnsi="Gill Sans MT"/>
          <w:sz w:val="24"/>
          <w:szCs w:val="24"/>
        </w:rPr>
        <w:t>municípios</w:t>
      </w:r>
      <w:r>
        <w:rPr>
          <w:rFonts w:ascii="Gill Sans MT" w:hAnsi="Gill Sans MT"/>
          <w:sz w:val="24"/>
          <w:szCs w:val="24"/>
        </w:rPr>
        <w:t xml:space="preserve"> da região. </w:t>
      </w:r>
    </w:p>
    <w:p w:rsidR="002C1F28" w:rsidRDefault="002C1F28" w:rsidP="002C1F28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</w:t>
      </w:r>
      <w:r w:rsidRPr="002C1F28">
        <w:rPr>
          <w:rFonts w:ascii="Gill Sans MT" w:hAnsi="Gill Sans MT"/>
          <w:sz w:val="24"/>
          <w:szCs w:val="24"/>
        </w:rPr>
        <w:t>consolidação da solução de abastecimento e de saneamento em alta para a região do Algarve, com a unificação dos contratos e extensão d</w:t>
      </w:r>
      <w:r>
        <w:rPr>
          <w:rFonts w:ascii="Gill Sans MT" w:hAnsi="Gill Sans MT"/>
          <w:sz w:val="24"/>
          <w:szCs w:val="24"/>
        </w:rPr>
        <w:t>os prazos de concessão até 2048, e a i</w:t>
      </w:r>
      <w:r w:rsidRPr="002C1F28">
        <w:rPr>
          <w:rFonts w:ascii="Gill Sans MT" w:hAnsi="Gill Sans MT"/>
          <w:sz w:val="24"/>
          <w:szCs w:val="24"/>
        </w:rPr>
        <w:t xml:space="preserve">ntegração de três barragens </w:t>
      </w:r>
      <w:r>
        <w:rPr>
          <w:rFonts w:ascii="Gill Sans MT" w:hAnsi="Gill Sans MT"/>
          <w:sz w:val="24"/>
          <w:szCs w:val="24"/>
        </w:rPr>
        <w:t>são igualmente eventos de relevo do exercício de 2019.</w:t>
      </w:r>
    </w:p>
    <w:p w:rsidR="002C1F28" w:rsidRPr="00970114" w:rsidRDefault="002C1F28" w:rsidP="00585966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atividade das empresas do Grupo AdP foi </w:t>
      </w:r>
      <w:r w:rsidR="00CF76C3">
        <w:rPr>
          <w:rFonts w:ascii="Gill Sans MT" w:hAnsi="Gill Sans MT"/>
          <w:sz w:val="24"/>
          <w:szCs w:val="24"/>
        </w:rPr>
        <w:t>enquadrada por objetivos de eficiência operacional, combate à escassez de água, adaptação às alterações climáticas e promoção da economia circular, destacando-se, entre outras linhas de intervenção,</w:t>
      </w:r>
      <w:r w:rsidRPr="00970114">
        <w:rPr>
          <w:rFonts w:ascii="Gill Sans MT" w:hAnsi="Gill Sans MT"/>
          <w:sz w:val="24"/>
          <w:szCs w:val="24"/>
        </w:rPr>
        <w:t xml:space="preserve"> </w:t>
      </w:r>
      <w:r w:rsidR="00CF76C3">
        <w:rPr>
          <w:rFonts w:ascii="Gill Sans MT" w:hAnsi="Gill Sans MT"/>
          <w:sz w:val="24"/>
          <w:szCs w:val="24"/>
        </w:rPr>
        <w:t xml:space="preserve">as relativas à </w:t>
      </w:r>
      <w:r w:rsidRPr="00970114">
        <w:rPr>
          <w:rFonts w:ascii="Gill Sans MT" w:hAnsi="Gill Sans MT"/>
          <w:sz w:val="24"/>
          <w:szCs w:val="24"/>
        </w:rPr>
        <w:t>valorização de subprodutos gerados pelo tratamento de águas residuais, com destaque para a produção de água para reutilização (</w:t>
      </w:r>
      <w:proofErr w:type="spellStart"/>
      <w:r w:rsidRPr="00970114">
        <w:rPr>
          <w:rFonts w:ascii="Gill Sans MT" w:hAnsi="Gill Sans MT"/>
          <w:sz w:val="24"/>
          <w:szCs w:val="24"/>
        </w:rPr>
        <w:t>ApR</w:t>
      </w:r>
      <w:proofErr w:type="spellEnd"/>
      <w:r w:rsidRPr="00970114">
        <w:rPr>
          <w:rFonts w:ascii="Gill Sans MT" w:hAnsi="Gill Sans MT"/>
          <w:sz w:val="24"/>
          <w:szCs w:val="24"/>
        </w:rPr>
        <w:t xml:space="preserve">) a partir de águas residuais, a valorização de lamas de </w:t>
      </w:r>
      <w:r w:rsidR="00CF76C3">
        <w:rPr>
          <w:rFonts w:ascii="Gill Sans MT" w:hAnsi="Gill Sans MT"/>
          <w:sz w:val="24"/>
          <w:szCs w:val="24"/>
        </w:rPr>
        <w:t>Estações de Tratamento de Água (</w:t>
      </w:r>
      <w:r w:rsidRPr="00970114">
        <w:rPr>
          <w:rFonts w:ascii="Gill Sans MT" w:hAnsi="Gill Sans MT"/>
          <w:sz w:val="24"/>
          <w:szCs w:val="24"/>
        </w:rPr>
        <w:t>ETA</w:t>
      </w:r>
      <w:r w:rsidR="00CF76C3">
        <w:rPr>
          <w:rFonts w:ascii="Gill Sans MT" w:hAnsi="Gill Sans MT"/>
          <w:sz w:val="24"/>
          <w:szCs w:val="24"/>
        </w:rPr>
        <w:t>)</w:t>
      </w:r>
      <w:r w:rsidRPr="00970114">
        <w:rPr>
          <w:rFonts w:ascii="Gill Sans MT" w:hAnsi="Gill Sans MT"/>
          <w:sz w:val="24"/>
          <w:szCs w:val="24"/>
        </w:rPr>
        <w:t xml:space="preserve"> e de </w:t>
      </w:r>
      <w:r w:rsidR="00CF76C3">
        <w:rPr>
          <w:rFonts w:ascii="Gill Sans MT" w:hAnsi="Gill Sans MT"/>
          <w:sz w:val="24"/>
          <w:szCs w:val="24"/>
        </w:rPr>
        <w:t>Águas Residuais (</w:t>
      </w:r>
      <w:r w:rsidRPr="00970114">
        <w:rPr>
          <w:rFonts w:ascii="Gill Sans MT" w:hAnsi="Gill Sans MT"/>
          <w:sz w:val="24"/>
          <w:szCs w:val="24"/>
        </w:rPr>
        <w:t>ETAR</w:t>
      </w:r>
      <w:r w:rsidR="00CF76C3">
        <w:rPr>
          <w:rFonts w:ascii="Gill Sans MT" w:hAnsi="Gill Sans MT"/>
          <w:sz w:val="24"/>
          <w:szCs w:val="24"/>
        </w:rPr>
        <w:t xml:space="preserve">), </w:t>
      </w:r>
      <w:r w:rsidRPr="00970114">
        <w:rPr>
          <w:rFonts w:ascii="Gill Sans MT" w:hAnsi="Gill Sans MT"/>
          <w:sz w:val="24"/>
          <w:szCs w:val="24"/>
        </w:rPr>
        <w:t>a reciclagem de nutrientes</w:t>
      </w:r>
      <w:r w:rsidR="00CF76C3">
        <w:rPr>
          <w:rFonts w:ascii="Gill Sans MT" w:hAnsi="Gill Sans MT"/>
          <w:sz w:val="24"/>
          <w:szCs w:val="24"/>
        </w:rPr>
        <w:t xml:space="preserve"> presentes nas águas residuais </w:t>
      </w:r>
      <w:r w:rsidRPr="00970114">
        <w:rPr>
          <w:rFonts w:ascii="Gill Sans MT" w:hAnsi="Gill Sans MT"/>
          <w:sz w:val="24"/>
          <w:szCs w:val="24"/>
        </w:rPr>
        <w:t xml:space="preserve">e a produção de energia de fonte renovável. </w:t>
      </w:r>
    </w:p>
    <w:p w:rsidR="00CF76C3" w:rsidRDefault="00CF76C3" w:rsidP="00BC66B9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No que respeita à energia, </w:t>
      </w:r>
      <w:r w:rsidR="002C1F28" w:rsidRPr="00970114">
        <w:rPr>
          <w:rFonts w:ascii="Gill Sans MT" w:hAnsi="Gill Sans MT"/>
          <w:sz w:val="24"/>
          <w:szCs w:val="24"/>
        </w:rPr>
        <w:t xml:space="preserve">sublinha-se o alcance, em 2019, de mais de 78% das metas fixadas no Plano de Eficiência e de Produção de Energia </w:t>
      </w:r>
      <w:r>
        <w:rPr>
          <w:rFonts w:ascii="Gill Sans MT" w:hAnsi="Gill Sans MT"/>
          <w:sz w:val="24"/>
          <w:szCs w:val="24"/>
        </w:rPr>
        <w:t xml:space="preserve">(PEPE) </w:t>
      </w:r>
      <w:r w:rsidR="002C1F28" w:rsidRPr="00970114">
        <w:rPr>
          <w:rFonts w:ascii="Gill Sans MT" w:hAnsi="Gill Sans MT"/>
          <w:sz w:val="24"/>
          <w:szCs w:val="24"/>
        </w:rPr>
        <w:t>do Grupo AdP para 2020 relativamente à redução de emissões de CO</w:t>
      </w:r>
      <w:r w:rsidR="002C1F28" w:rsidRPr="00BC66B9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 xml:space="preserve">. </w:t>
      </w:r>
    </w:p>
    <w:p w:rsidR="002C1F28" w:rsidRPr="00970114" w:rsidRDefault="00585966" w:rsidP="00BC66B9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</w:t>
      </w:r>
      <w:r w:rsidR="00CF76C3">
        <w:rPr>
          <w:rFonts w:ascii="Gill Sans MT" w:hAnsi="Gill Sans MT"/>
          <w:sz w:val="24"/>
          <w:szCs w:val="24"/>
        </w:rPr>
        <w:t xml:space="preserve"> ano de </w:t>
      </w:r>
      <w:r w:rsidR="002C1F28" w:rsidRPr="00970114">
        <w:rPr>
          <w:rFonts w:ascii="Gill Sans MT" w:hAnsi="Gill Sans MT"/>
          <w:sz w:val="24"/>
          <w:szCs w:val="24"/>
        </w:rPr>
        <w:t>2020</w:t>
      </w:r>
      <w:r>
        <w:rPr>
          <w:rFonts w:ascii="Gill Sans MT" w:hAnsi="Gill Sans MT"/>
          <w:sz w:val="24"/>
          <w:szCs w:val="24"/>
        </w:rPr>
        <w:t xml:space="preserve"> será prosseguida </w:t>
      </w:r>
      <w:r w:rsidR="00CF76C3">
        <w:rPr>
          <w:rFonts w:ascii="Gill Sans MT" w:hAnsi="Gill Sans MT"/>
          <w:sz w:val="24"/>
          <w:szCs w:val="24"/>
        </w:rPr>
        <w:t xml:space="preserve">a estratégia de </w:t>
      </w:r>
      <w:r w:rsidR="00CF76C3" w:rsidRPr="00970114">
        <w:rPr>
          <w:rFonts w:ascii="Gill Sans MT" w:hAnsi="Gill Sans MT"/>
          <w:sz w:val="24"/>
          <w:szCs w:val="24"/>
        </w:rPr>
        <w:t>implementação da neutralidade energética do Grupo AdP</w:t>
      </w:r>
      <w:r w:rsidR="00CF76C3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tendo já sido dado início a </w:t>
      </w:r>
      <w:r w:rsidR="002C1F28" w:rsidRPr="00970114">
        <w:rPr>
          <w:rFonts w:ascii="Gill Sans MT" w:hAnsi="Gill Sans MT"/>
          <w:sz w:val="24"/>
          <w:szCs w:val="24"/>
        </w:rPr>
        <w:t>um novo projeto de produção de energia fotovoltaica que permitirá uma redução de emissões de CO</w:t>
      </w:r>
      <w:r w:rsidR="002C1F28" w:rsidRPr="00BC66B9">
        <w:rPr>
          <w:rFonts w:ascii="Gill Sans MT" w:hAnsi="Gill Sans MT"/>
          <w:sz w:val="24"/>
          <w:szCs w:val="24"/>
        </w:rPr>
        <w:t>2</w:t>
      </w:r>
      <w:r w:rsidR="002C1F28" w:rsidRPr="00970114">
        <w:rPr>
          <w:rFonts w:ascii="Gill Sans MT" w:hAnsi="Gill Sans MT"/>
          <w:sz w:val="24"/>
          <w:szCs w:val="24"/>
        </w:rPr>
        <w:t xml:space="preserve"> estimada em 36 mil </w:t>
      </w:r>
      <w:proofErr w:type="spellStart"/>
      <w:r w:rsidR="002C1F28" w:rsidRPr="00970114">
        <w:rPr>
          <w:rFonts w:ascii="Gill Sans MT" w:hAnsi="Gill Sans MT"/>
          <w:sz w:val="24"/>
          <w:szCs w:val="24"/>
        </w:rPr>
        <w:t>ton</w:t>
      </w:r>
      <w:proofErr w:type="spellEnd"/>
      <w:r w:rsidR="002C1F28" w:rsidRPr="00970114">
        <w:rPr>
          <w:rFonts w:ascii="Gill Sans MT" w:hAnsi="Gill Sans MT"/>
          <w:sz w:val="24"/>
          <w:szCs w:val="24"/>
        </w:rPr>
        <w:t>/ano em 2022, ano de funcionamento pleno</w:t>
      </w:r>
      <w:r w:rsidR="00CF76C3">
        <w:rPr>
          <w:rFonts w:ascii="Gill Sans MT" w:hAnsi="Gill Sans MT"/>
          <w:sz w:val="24"/>
          <w:szCs w:val="24"/>
        </w:rPr>
        <w:t>.</w:t>
      </w:r>
      <w:r w:rsidR="002C1F28" w:rsidRPr="00970114">
        <w:rPr>
          <w:rFonts w:ascii="Gill Sans MT" w:hAnsi="Gill Sans MT"/>
          <w:sz w:val="24"/>
          <w:szCs w:val="24"/>
        </w:rPr>
        <w:t xml:space="preserve"> </w:t>
      </w:r>
    </w:p>
    <w:p w:rsidR="002C1F28" w:rsidRPr="00BC66B9" w:rsidRDefault="00CF76C3" w:rsidP="00BC66B9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 w:rsidRPr="00BC66B9">
        <w:rPr>
          <w:rFonts w:ascii="Gill Sans MT" w:hAnsi="Gill Sans MT"/>
          <w:sz w:val="24"/>
          <w:szCs w:val="24"/>
        </w:rPr>
        <w:t xml:space="preserve">De referir que </w:t>
      </w:r>
      <w:r w:rsidR="000C3908" w:rsidRPr="00BC66B9">
        <w:rPr>
          <w:rFonts w:ascii="Gill Sans MT" w:hAnsi="Gill Sans MT"/>
          <w:sz w:val="24"/>
          <w:szCs w:val="24"/>
        </w:rPr>
        <w:t>o empenho do Grupo AdP na transição para uma economia de baixo carbono ficou reforçado em 2019 com a subscrição do compromisso “</w:t>
      </w:r>
      <w:r w:rsidR="000C3908" w:rsidRPr="0022785A">
        <w:rPr>
          <w:rFonts w:ascii="Gill Sans MT" w:hAnsi="Gill Sans MT"/>
          <w:i/>
          <w:sz w:val="24"/>
          <w:szCs w:val="24"/>
        </w:rPr>
        <w:t xml:space="preserve">Business </w:t>
      </w:r>
      <w:proofErr w:type="spellStart"/>
      <w:r w:rsidR="000C3908" w:rsidRPr="0022785A">
        <w:rPr>
          <w:rFonts w:ascii="Gill Sans MT" w:hAnsi="Gill Sans MT"/>
          <w:i/>
          <w:sz w:val="24"/>
          <w:szCs w:val="24"/>
        </w:rPr>
        <w:t>Ambition</w:t>
      </w:r>
      <w:proofErr w:type="spellEnd"/>
      <w:r w:rsidR="000C3908" w:rsidRPr="0022785A">
        <w:rPr>
          <w:rFonts w:ascii="Gill Sans MT" w:hAnsi="Gill Sans MT"/>
          <w:i/>
          <w:sz w:val="24"/>
          <w:szCs w:val="24"/>
        </w:rPr>
        <w:t xml:space="preserve"> for 1.5ºC</w:t>
      </w:r>
      <w:r w:rsidR="000C3908" w:rsidRPr="00BC66B9">
        <w:rPr>
          <w:rFonts w:ascii="Gill Sans MT" w:hAnsi="Gill Sans MT"/>
          <w:sz w:val="24"/>
          <w:szCs w:val="24"/>
        </w:rPr>
        <w:t xml:space="preserve">” da </w:t>
      </w:r>
      <w:bookmarkStart w:id="0" w:name="_GoBack"/>
      <w:r w:rsidR="000C3908" w:rsidRPr="0022785A">
        <w:rPr>
          <w:rFonts w:ascii="Gill Sans MT" w:hAnsi="Gill Sans MT"/>
          <w:i/>
          <w:sz w:val="24"/>
          <w:szCs w:val="24"/>
        </w:rPr>
        <w:t xml:space="preserve">United </w:t>
      </w:r>
      <w:proofErr w:type="spellStart"/>
      <w:r w:rsidR="000C3908" w:rsidRPr="0022785A">
        <w:rPr>
          <w:rFonts w:ascii="Gill Sans MT" w:hAnsi="Gill Sans MT"/>
          <w:i/>
          <w:sz w:val="24"/>
          <w:szCs w:val="24"/>
        </w:rPr>
        <w:t>Nations</w:t>
      </w:r>
      <w:proofErr w:type="spellEnd"/>
      <w:r w:rsidR="000C3908" w:rsidRPr="0022785A">
        <w:rPr>
          <w:rFonts w:ascii="Gill Sans MT" w:hAnsi="Gill Sans MT"/>
          <w:i/>
          <w:sz w:val="24"/>
          <w:szCs w:val="24"/>
        </w:rPr>
        <w:t xml:space="preserve"> Global </w:t>
      </w:r>
      <w:proofErr w:type="spellStart"/>
      <w:r w:rsidR="000C3908" w:rsidRPr="0022785A">
        <w:rPr>
          <w:rFonts w:ascii="Gill Sans MT" w:hAnsi="Gill Sans MT"/>
          <w:i/>
          <w:sz w:val="24"/>
          <w:szCs w:val="24"/>
        </w:rPr>
        <w:t>Compact</w:t>
      </w:r>
      <w:bookmarkEnd w:id="0"/>
      <w:proofErr w:type="spellEnd"/>
      <w:r w:rsidR="002C1F28" w:rsidRPr="00BC66B9">
        <w:rPr>
          <w:rFonts w:ascii="Gill Sans MT" w:hAnsi="Gill Sans MT"/>
          <w:sz w:val="24"/>
          <w:szCs w:val="24"/>
        </w:rPr>
        <w:t>.</w:t>
      </w:r>
    </w:p>
    <w:p w:rsidR="002C1F28" w:rsidRPr="00970114" w:rsidRDefault="002C1F28" w:rsidP="00BC66B9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 w:rsidRPr="00970114">
        <w:rPr>
          <w:rFonts w:ascii="Gill Sans MT" w:hAnsi="Gill Sans MT"/>
          <w:sz w:val="24"/>
          <w:szCs w:val="24"/>
        </w:rPr>
        <w:t>No que respeita à atividade internacional, em 2019 registou-se uma expansão da presença internacional</w:t>
      </w:r>
      <w:r w:rsidR="00BC66B9">
        <w:rPr>
          <w:rFonts w:ascii="Gill Sans MT" w:hAnsi="Gill Sans MT"/>
          <w:sz w:val="24"/>
          <w:szCs w:val="24"/>
        </w:rPr>
        <w:t xml:space="preserve"> do G</w:t>
      </w:r>
      <w:r w:rsidR="000C3908">
        <w:rPr>
          <w:rFonts w:ascii="Gill Sans MT" w:hAnsi="Gill Sans MT"/>
          <w:sz w:val="24"/>
          <w:szCs w:val="24"/>
        </w:rPr>
        <w:t>rupo AdP</w:t>
      </w:r>
      <w:r w:rsidRPr="00970114">
        <w:rPr>
          <w:rFonts w:ascii="Gill Sans MT" w:hAnsi="Gill Sans MT"/>
          <w:sz w:val="24"/>
          <w:szCs w:val="24"/>
        </w:rPr>
        <w:t xml:space="preserve"> em novos mercados em </w:t>
      </w:r>
      <w:r w:rsidR="00BC66B9">
        <w:rPr>
          <w:rFonts w:ascii="Gill Sans MT" w:hAnsi="Gill Sans MT"/>
          <w:sz w:val="24"/>
          <w:szCs w:val="24"/>
        </w:rPr>
        <w:t>Á</w:t>
      </w:r>
      <w:r w:rsidRPr="00970114">
        <w:rPr>
          <w:rFonts w:ascii="Gill Sans MT" w:hAnsi="Gill Sans MT"/>
          <w:sz w:val="24"/>
          <w:szCs w:val="24"/>
        </w:rPr>
        <w:t xml:space="preserve">frica e na Ásia, destacando-se </w:t>
      </w:r>
      <w:r w:rsidR="000C3908">
        <w:rPr>
          <w:rFonts w:ascii="Gill Sans MT" w:hAnsi="Gill Sans MT"/>
          <w:sz w:val="24"/>
          <w:szCs w:val="24"/>
        </w:rPr>
        <w:t>os</w:t>
      </w:r>
      <w:r w:rsidRPr="00970114">
        <w:rPr>
          <w:rFonts w:ascii="Gill Sans MT" w:hAnsi="Gill Sans MT"/>
          <w:sz w:val="24"/>
          <w:szCs w:val="24"/>
        </w:rPr>
        <w:t xml:space="preserve"> contrato</w:t>
      </w:r>
      <w:r w:rsidR="00064359">
        <w:rPr>
          <w:rFonts w:ascii="Gill Sans MT" w:hAnsi="Gill Sans MT"/>
          <w:sz w:val="24"/>
          <w:szCs w:val="24"/>
        </w:rPr>
        <w:t>s</w:t>
      </w:r>
      <w:r w:rsidRPr="00970114">
        <w:rPr>
          <w:rFonts w:ascii="Gill Sans MT" w:hAnsi="Gill Sans MT"/>
          <w:sz w:val="24"/>
          <w:szCs w:val="24"/>
        </w:rPr>
        <w:t xml:space="preserve"> de assistência técnica firmado</w:t>
      </w:r>
      <w:r w:rsidR="000C3908">
        <w:rPr>
          <w:rFonts w:ascii="Gill Sans MT" w:hAnsi="Gill Sans MT"/>
          <w:sz w:val="24"/>
          <w:szCs w:val="24"/>
        </w:rPr>
        <w:t>s</w:t>
      </w:r>
      <w:r w:rsidRPr="00970114">
        <w:rPr>
          <w:rFonts w:ascii="Gill Sans MT" w:hAnsi="Gill Sans MT"/>
          <w:sz w:val="24"/>
          <w:szCs w:val="24"/>
        </w:rPr>
        <w:t xml:space="preserve"> com o Governo do Estado de Goa, </w:t>
      </w:r>
      <w:r w:rsidR="000C3908">
        <w:rPr>
          <w:rFonts w:ascii="Gill Sans MT" w:hAnsi="Gill Sans MT"/>
          <w:sz w:val="24"/>
          <w:szCs w:val="24"/>
        </w:rPr>
        <w:t>Índia, e com o Governo de Timor-Leste, já no início de</w:t>
      </w:r>
      <w:r w:rsidRPr="00970114">
        <w:rPr>
          <w:rFonts w:ascii="Gill Sans MT" w:hAnsi="Gill Sans MT"/>
          <w:sz w:val="24"/>
          <w:szCs w:val="24"/>
        </w:rPr>
        <w:t xml:space="preserve"> 2020.</w:t>
      </w:r>
    </w:p>
    <w:p w:rsidR="00414E31" w:rsidRDefault="00076F58" w:rsidP="00BC66B9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 ano de 2019 fica também marcado pelas ações de </w:t>
      </w:r>
      <w:r w:rsidR="002C1F28" w:rsidRPr="00970114">
        <w:rPr>
          <w:rFonts w:ascii="Gill Sans MT" w:hAnsi="Gill Sans MT"/>
          <w:sz w:val="24"/>
          <w:szCs w:val="24"/>
        </w:rPr>
        <w:t>cooperação externa</w:t>
      </w:r>
      <w:r>
        <w:rPr>
          <w:rFonts w:ascii="Gill Sans MT" w:hAnsi="Gill Sans MT"/>
          <w:sz w:val="24"/>
          <w:szCs w:val="24"/>
        </w:rPr>
        <w:t xml:space="preserve">, nomeadamente no </w:t>
      </w:r>
      <w:r w:rsidR="002C1F28" w:rsidRPr="00970114">
        <w:rPr>
          <w:rFonts w:ascii="Gill Sans MT" w:hAnsi="Gill Sans MT"/>
          <w:sz w:val="24"/>
          <w:szCs w:val="24"/>
        </w:rPr>
        <w:t xml:space="preserve">apoio </w:t>
      </w:r>
      <w:r>
        <w:rPr>
          <w:rFonts w:ascii="Gill Sans MT" w:hAnsi="Gill Sans MT"/>
          <w:sz w:val="24"/>
          <w:szCs w:val="24"/>
        </w:rPr>
        <w:t>prestado</w:t>
      </w:r>
      <w:r w:rsidR="002C1F28" w:rsidRPr="00970114">
        <w:rPr>
          <w:rFonts w:ascii="Gill Sans MT" w:hAnsi="Gill Sans MT"/>
          <w:sz w:val="24"/>
          <w:szCs w:val="24"/>
        </w:rPr>
        <w:t xml:space="preserve"> às autoridades moçambicanas no restabelecimento do fornecimento de água potável às populações das zonas afetadas pelo ciclone </w:t>
      </w:r>
      <w:r>
        <w:rPr>
          <w:rFonts w:ascii="Gill Sans MT" w:hAnsi="Gill Sans MT"/>
          <w:sz w:val="24"/>
          <w:szCs w:val="24"/>
        </w:rPr>
        <w:t>que assolou Moçambique</w:t>
      </w:r>
      <w:r w:rsidR="002C1F28" w:rsidRPr="00970114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 xml:space="preserve">Além do trabalho das </w:t>
      </w:r>
      <w:r w:rsidR="002C1F28" w:rsidRPr="00970114">
        <w:rPr>
          <w:rFonts w:ascii="Gill Sans MT" w:hAnsi="Gill Sans MT"/>
          <w:sz w:val="24"/>
          <w:szCs w:val="24"/>
        </w:rPr>
        <w:t xml:space="preserve">equipas de peritos </w:t>
      </w:r>
      <w:r>
        <w:rPr>
          <w:rFonts w:ascii="Gill Sans MT" w:hAnsi="Gill Sans MT"/>
          <w:sz w:val="24"/>
          <w:szCs w:val="24"/>
        </w:rPr>
        <w:t>de diversas empresas do Grupo AdP n</w:t>
      </w:r>
      <w:r w:rsidR="002C1F28" w:rsidRPr="00970114">
        <w:rPr>
          <w:rFonts w:ascii="Gill Sans MT" w:hAnsi="Gill Sans MT"/>
          <w:sz w:val="24"/>
          <w:szCs w:val="24"/>
        </w:rPr>
        <w:t xml:space="preserve">o terreno, </w:t>
      </w:r>
      <w:r>
        <w:rPr>
          <w:rFonts w:ascii="Gill Sans MT" w:hAnsi="Gill Sans MT"/>
          <w:sz w:val="24"/>
          <w:szCs w:val="24"/>
        </w:rPr>
        <w:t xml:space="preserve">no âmbito desta missão humanitária </w:t>
      </w:r>
      <w:r w:rsidR="00064359">
        <w:rPr>
          <w:rFonts w:ascii="Gill Sans MT" w:hAnsi="Gill Sans MT"/>
          <w:sz w:val="24"/>
          <w:szCs w:val="24"/>
        </w:rPr>
        <w:t>foi instalada</w:t>
      </w:r>
      <w:r>
        <w:rPr>
          <w:rFonts w:ascii="Gill Sans MT" w:hAnsi="Gill Sans MT"/>
          <w:sz w:val="24"/>
          <w:szCs w:val="24"/>
        </w:rPr>
        <w:t xml:space="preserve"> </w:t>
      </w:r>
      <w:r w:rsidR="002C1F28" w:rsidRPr="00970114">
        <w:rPr>
          <w:rFonts w:ascii="Gill Sans MT" w:hAnsi="Gill Sans MT"/>
          <w:sz w:val="24"/>
          <w:szCs w:val="24"/>
        </w:rPr>
        <w:t>uma unidade de tratamento que permitiu o fornecimento de água potável a mais de 3.000 famílias</w:t>
      </w:r>
      <w:r w:rsidRPr="00076F58">
        <w:rPr>
          <w:rFonts w:ascii="Gill Sans MT" w:hAnsi="Gill Sans MT"/>
          <w:sz w:val="24"/>
          <w:szCs w:val="24"/>
        </w:rPr>
        <w:t xml:space="preserve"> </w:t>
      </w:r>
      <w:r w:rsidRPr="00970114">
        <w:rPr>
          <w:rFonts w:ascii="Gill Sans MT" w:hAnsi="Gill Sans MT"/>
          <w:sz w:val="24"/>
          <w:szCs w:val="24"/>
        </w:rPr>
        <w:t>nos arredores da cidade da Beira</w:t>
      </w:r>
      <w:r w:rsidR="002C1F28" w:rsidRPr="00970114">
        <w:rPr>
          <w:rFonts w:ascii="Gill Sans MT" w:hAnsi="Gill Sans MT"/>
          <w:sz w:val="24"/>
          <w:szCs w:val="24"/>
        </w:rPr>
        <w:t>.</w:t>
      </w:r>
    </w:p>
    <w:p w:rsidR="00BC66B9" w:rsidRDefault="00BC66B9" w:rsidP="00BC66B9">
      <w:pPr>
        <w:spacing w:after="240" w:line="320" w:lineRule="atLeast"/>
        <w:jc w:val="both"/>
        <w:rPr>
          <w:rFonts w:ascii="Gill Sans MT" w:hAnsi="Gill Sans MT"/>
          <w:sz w:val="24"/>
          <w:szCs w:val="24"/>
        </w:rPr>
      </w:pPr>
    </w:p>
    <w:p w:rsidR="00BC66B9" w:rsidRPr="00091697" w:rsidRDefault="00BC66B9" w:rsidP="00BC66B9">
      <w:pPr>
        <w:spacing w:before="120" w:after="120" w:line="360" w:lineRule="exact"/>
        <w:jc w:val="center"/>
        <w:rPr>
          <w:rFonts w:ascii="Gill Sans MT" w:hAnsi="Gill Sans MT" w:cs="Arial"/>
          <w:sz w:val="20"/>
          <w:szCs w:val="18"/>
        </w:rPr>
      </w:pPr>
      <w:r>
        <w:rPr>
          <w:rFonts w:ascii="Gill Sans MT" w:hAnsi="Gill Sans MT"/>
          <w:sz w:val="24"/>
          <w:szCs w:val="24"/>
        </w:rPr>
        <w:t>###</w:t>
      </w:r>
    </w:p>
    <w:sectPr w:rsidR="00BC66B9" w:rsidRPr="00091697" w:rsidSect="00BC66B9">
      <w:headerReference w:type="default" r:id="rId7"/>
      <w:pgSz w:w="11906" w:h="16838"/>
      <w:pgMar w:top="1985" w:right="1701" w:bottom="1418" w:left="1701" w:header="113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58" w:rsidRDefault="001B2A58" w:rsidP="008F5365">
      <w:r>
        <w:separator/>
      </w:r>
    </w:p>
  </w:endnote>
  <w:endnote w:type="continuationSeparator" w:id="0">
    <w:p w:rsidR="001B2A58" w:rsidRDefault="001B2A58" w:rsidP="008F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Pro Light">
    <w:panose1 w:val="020B03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58" w:rsidRDefault="001B2A58" w:rsidP="008F5365">
      <w:r>
        <w:separator/>
      </w:r>
    </w:p>
  </w:footnote>
  <w:footnote w:type="continuationSeparator" w:id="0">
    <w:p w:rsidR="001B2A58" w:rsidRDefault="001B2A58" w:rsidP="008F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FF" w:rsidRDefault="00B533FF" w:rsidP="00B533FF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D6C6F75" wp14:editId="60834F80">
          <wp:simplePos x="0" y="0"/>
          <wp:positionH relativeFrom="margin">
            <wp:posOffset>-774838</wp:posOffset>
          </wp:positionH>
          <wp:positionV relativeFrom="margin">
            <wp:posOffset>-967243</wp:posOffset>
          </wp:positionV>
          <wp:extent cx="2025457" cy="657532"/>
          <wp:effectExtent l="0" t="0" r="0" b="9525"/>
          <wp:wrapSquare wrapText="bothSides"/>
          <wp:docPr id="16" name="Imagem 16" descr="Resultado de imagem para águas de portug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águas de portug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457" cy="6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5365" w:rsidRDefault="008F5365" w:rsidP="00B53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836"/>
    <w:multiLevelType w:val="hybridMultilevel"/>
    <w:tmpl w:val="9A505DCC"/>
    <w:lvl w:ilvl="0" w:tplc="8CC62CC0">
      <w:start w:val="1"/>
      <w:numFmt w:val="bullet"/>
      <w:lvlText w:val="-"/>
      <w:lvlJc w:val="left"/>
      <w:pPr>
        <w:ind w:left="360" w:hanging="360"/>
      </w:pPr>
      <w:rPr>
        <w:rFonts w:ascii="Gill Sans MT" w:hAnsi="Gill Sans MT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4C4A"/>
    <w:multiLevelType w:val="hybridMultilevel"/>
    <w:tmpl w:val="DE0280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D1"/>
    <w:multiLevelType w:val="hybridMultilevel"/>
    <w:tmpl w:val="3D38F1DA"/>
    <w:lvl w:ilvl="0" w:tplc="8CC62CC0">
      <w:start w:val="1"/>
      <w:numFmt w:val="bullet"/>
      <w:lvlText w:val="-"/>
      <w:lvlJc w:val="left"/>
      <w:pPr>
        <w:ind w:left="1080" w:hanging="360"/>
      </w:pPr>
      <w:rPr>
        <w:rFonts w:ascii="Gill Sans MT" w:hAnsi="Gill Sans MT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652D6"/>
    <w:multiLevelType w:val="hybridMultilevel"/>
    <w:tmpl w:val="3F5AD5EA"/>
    <w:lvl w:ilvl="0" w:tplc="ED6A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A2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CE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6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8D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EE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5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E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4F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8E42FA"/>
    <w:multiLevelType w:val="hybridMultilevel"/>
    <w:tmpl w:val="479A3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4A4D"/>
    <w:multiLevelType w:val="hybridMultilevel"/>
    <w:tmpl w:val="6E7613F4"/>
    <w:lvl w:ilvl="0" w:tplc="ECDA09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89A10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58873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80A7E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05AF9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42031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EB230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AC07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BAB4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7F023CF3"/>
    <w:multiLevelType w:val="hybridMultilevel"/>
    <w:tmpl w:val="E2881A6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B"/>
    <w:rsid w:val="00006DFD"/>
    <w:rsid w:val="00007042"/>
    <w:rsid w:val="000509B8"/>
    <w:rsid w:val="000638C6"/>
    <w:rsid w:val="00064359"/>
    <w:rsid w:val="0007250A"/>
    <w:rsid w:val="00076F58"/>
    <w:rsid w:val="0008189C"/>
    <w:rsid w:val="00084BA7"/>
    <w:rsid w:val="00091697"/>
    <w:rsid w:val="00094F17"/>
    <w:rsid w:val="000977A0"/>
    <w:rsid w:val="000A63A3"/>
    <w:rsid w:val="000C3908"/>
    <w:rsid w:val="000C7C6C"/>
    <w:rsid w:val="00101439"/>
    <w:rsid w:val="00114629"/>
    <w:rsid w:val="00195389"/>
    <w:rsid w:val="001B2A58"/>
    <w:rsid w:val="001B3C06"/>
    <w:rsid w:val="001F4BD9"/>
    <w:rsid w:val="00207D71"/>
    <w:rsid w:val="0022785A"/>
    <w:rsid w:val="0024018F"/>
    <w:rsid w:val="00241ED8"/>
    <w:rsid w:val="00256150"/>
    <w:rsid w:val="00265E17"/>
    <w:rsid w:val="00273DD6"/>
    <w:rsid w:val="00280092"/>
    <w:rsid w:val="00282955"/>
    <w:rsid w:val="002915CA"/>
    <w:rsid w:val="002C1F28"/>
    <w:rsid w:val="002C23CA"/>
    <w:rsid w:val="002F5F9B"/>
    <w:rsid w:val="002F7B30"/>
    <w:rsid w:val="00303920"/>
    <w:rsid w:val="003167C5"/>
    <w:rsid w:val="00316BC9"/>
    <w:rsid w:val="00317E8D"/>
    <w:rsid w:val="00331CBB"/>
    <w:rsid w:val="00347D42"/>
    <w:rsid w:val="0035152B"/>
    <w:rsid w:val="00355180"/>
    <w:rsid w:val="00362ED8"/>
    <w:rsid w:val="00372B34"/>
    <w:rsid w:val="00380B7E"/>
    <w:rsid w:val="00396AF9"/>
    <w:rsid w:val="003D7718"/>
    <w:rsid w:val="003E088B"/>
    <w:rsid w:val="00400FED"/>
    <w:rsid w:val="00405F69"/>
    <w:rsid w:val="00414E31"/>
    <w:rsid w:val="00453B80"/>
    <w:rsid w:val="004559F9"/>
    <w:rsid w:val="00462F7E"/>
    <w:rsid w:val="00464A94"/>
    <w:rsid w:val="00466C01"/>
    <w:rsid w:val="00477568"/>
    <w:rsid w:val="00484C4A"/>
    <w:rsid w:val="00496D18"/>
    <w:rsid w:val="004A2ECA"/>
    <w:rsid w:val="004D56C4"/>
    <w:rsid w:val="004D5EA8"/>
    <w:rsid w:val="0050161B"/>
    <w:rsid w:val="00514973"/>
    <w:rsid w:val="005158D0"/>
    <w:rsid w:val="00515C93"/>
    <w:rsid w:val="00517D72"/>
    <w:rsid w:val="00545475"/>
    <w:rsid w:val="00555085"/>
    <w:rsid w:val="00563B70"/>
    <w:rsid w:val="00565DFA"/>
    <w:rsid w:val="00585966"/>
    <w:rsid w:val="005A092D"/>
    <w:rsid w:val="005A5C80"/>
    <w:rsid w:val="005B4B69"/>
    <w:rsid w:val="005B6B4B"/>
    <w:rsid w:val="005C7C96"/>
    <w:rsid w:val="005D6089"/>
    <w:rsid w:val="005E3033"/>
    <w:rsid w:val="005E749D"/>
    <w:rsid w:val="0065216C"/>
    <w:rsid w:val="00657D8E"/>
    <w:rsid w:val="00680A05"/>
    <w:rsid w:val="00685CCF"/>
    <w:rsid w:val="006D5461"/>
    <w:rsid w:val="006E5839"/>
    <w:rsid w:val="006F102E"/>
    <w:rsid w:val="00706675"/>
    <w:rsid w:val="00721A79"/>
    <w:rsid w:val="00723499"/>
    <w:rsid w:val="00732868"/>
    <w:rsid w:val="00770B1B"/>
    <w:rsid w:val="00784AEC"/>
    <w:rsid w:val="007A1FFD"/>
    <w:rsid w:val="007B1AC0"/>
    <w:rsid w:val="007C36BE"/>
    <w:rsid w:val="007D05DE"/>
    <w:rsid w:val="00803887"/>
    <w:rsid w:val="0087184E"/>
    <w:rsid w:val="00896145"/>
    <w:rsid w:val="008D68A6"/>
    <w:rsid w:val="008F5365"/>
    <w:rsid w:val="008F6BF9"/>
    <w:rsid w:val="00915A41"/>
    <w:rsid w:val="009816DA"/>
    <w:rsid w:val="009A1EAD"/>
    <w:rsid w:val="009B08B3"/>
    <w:rsid w:val="009D268E"/>
    <w:rsid w:val="009E1EAA"/>
    <w:rsid w:val="009F5463"/>
    <w:rsid w:val="00A13CF6"/>
    <w:rsid w:val="00A62227"/>
    <w:rsid w:val="00A721A0"/>
    <w:rsid w:val="00A77C23"/>
    <w:rsid w:val="00AD18BE"/>
    <w:rsid w:val="00B11B1B"/>
    <w:rsid w:val="00B221A2"/>
    <w:rsid w:val="00B30DB8"/>
    <w:rsid w:val="00B50AC5"/>
    <w:rsid w:val="00B533FF"/>
    <w:rsid w:val="00B706EE"/>
    <w:rsid w:val="00B74FD0"/>
    <w:rsid w:val="00B94E7B"/>
    <w:rsid w:val="00BA64A9"/>
    <w:rsid w:val="00BC66B9"/>
    <w:rsid w:val="00BF00CB"/>
    <w:rsid w:val="00C02F8E"/>
    <w:rsid w:val="00C05D9A"/>
    <w:rsid w:val="00C10259"/>
    <w:rsid w:val="00C12333"/>
    <w:rsid w:val="00C43CA1"/>
    <w:rsid w:val="00C805E0"/>
    <w:rsid w:val="00CC5B0F"/>
    <w:rsid w:val="00CF76C3"/>
    <w:rsid w:val="00D03652"/>
    <w:rsid w:val="00D15D42"/>
    <w:rsid w:val="00D167B1"/>
    <w:rsid w:val="00D34BD4"/>
    <w:rsid w:val="00D62EFB"/>
    <w:rsid w:val="00D843AA"/>
    <w:rsid w:val="00DC0128"/>
    <w:rsid w:val="00DC6829"/>
    <w:rsid w:val="00DE77C3"/>
    <w:rsid w:val="00DF2D31"/>
    <w:rsid w:val="00E01A61"/>
    <w:rsid w:val="00E057D3"/>
    <w:rsid w:val="00E16AF4"/>
    <w:rsid w:val="00E27DC8"/>
    <w:rsid w:val="00E40891"/>
    <w:rsid w:val="00E459A8"/>
    <w:rsid w:val="00E957DB"/>
    <w:rsid w:val="00E959E1"/>
    <w:rsid w:val="00EB0DCD"/>
    <w:rsid w:val="00EB49A3"/>
    <w:rsid w:val="00EC1194"/>
    <w:rsid w:val="00EF0F72"/>
    <w:rsid w:val="00EF7892"/>
    <w:rsid w:val="00F31C1F"/>
    <w:rsid w:val="00F51AD1"/>
    <w:rsid w:val="00F900E6"/>
    <w:rsid w:val="00FA6F6C"/>
    <w:rsid w:val="00FB359F"/>
    <w:rsid w:val="00FB4ABA"/>
    <w:rsid w:val="00FD080E"/>
    <w:rsid w:val="00FE7FDB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C7272C-6106-4F2F-A371-DE1222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3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365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5365"/>
  </w:style>
  <w:style w:type="paragraph" w:styleId="Footer">
    <w:name w:val="footer"/>
    <w:basedOn w:val="Normal"/>
    <w:link w:val="FooterChar"/>
    <w:uiPriority w:val="99"/>
    <w:unhideWhenUsed/>
    <w:rsid w:val="008F5365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5365"/>
  </w:style>
  <w:style w:type="paragraph" w:styleId="ListParagraph">
    <w:name w:val="List Paragraph"/>
    <w:aliases w:val="Paragrafo Titulo,Parágrafo da Lista1"/>
    <w:basedOn w:val="Normal"/>
    <w:link w:val="ListParagraphChar"/>
    <w:uiPriority w:val="34"/>
    <w:qFormat/>
    <w:rsid w:val="0051497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A64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6B4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F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5A092D"/>
    <w:pPr>
      <w:spacing w:after="160" w:line="259" w:lineRule="auto"/>
      <w:ind w:right="567"/>
      <w:jc w:val="both"/>
    </w:pPr>
    <w:rPr>
      <w:rFonts w:ascii="Gill Sans MT Pro Light" w:eastAsia="Calibri" w:hAnsi="Gill Sans MT Pro Light" w:cs="Times New Roman"/>
      <w:color w:val="000000"/>
      <w:sz w:val="20"/>
      <w:szCs w:val="20"/>
      <w:shd w:val="clear" w:color="auto" w:fill="FFFFFF"/>
    </w:rPr>
  </w:style>
  <w:style w:type="character" w:customStyle="1" w:styleId="TextoChar">
    <w:name w:val="Texto Char"/>
    <w:link w:val="Texto"/>
    <w:rsid w:val="005A092D"/>
    <w:rPr>
      <w:rFonts w:ascii="Gill Sans MT Pro Light" w:eastAsia="Calibri" w:hAnsi="Gill Sans MT Pro Light" w:cs="Times New Roman"/>
      <w:color w:val="000000"/>
      <w:sz w:val="20"/>
      <w:szCs w:val="20"/>
    </w:rPr>
  </w:style>
  <w:style w:type="character" w:customStyle="1" w:styleId="ListParagraphChar">
    <w:name w:val="List Paragraph Char"/>
    <w:aliases w:val="Paragrafo Titulo Char,Parágrafo da Lista1 Char"/>
    <w:basedOn w:val="DefaultParagraphFont"/>
    <w:link w:val="ListParagraph"/>
    <w:uiPriority w:val="34"/>
    <w:rsid w:val="00C805E0"/>
  </w:style>
  <w:style w:type="paragraph" w:styleId="NormalWeb">
    <w:name w:val="Normal (Web)"/>
    <w:basedOn w:val="Normal"/>
    <w:uiPriority w:val="99"/>
    <w:unhideWhenUsed/>
    <w:rsid w:val="00414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C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6B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6B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e.luz@adp.pt</dc:creator>
  <cp:keywords/>
  <dc:description/>
  <cp:lastModifiedBy>Elsa Luz</cp:lastModifiedBy>
  <cp:revision>2</cp:revision>
  <cp:lastPrinted>2019-04-29T11:27:00Z</cp:lastPrinted>
  <dcterms:created xsi:type="dcterms:W3CDTF">2020-04-24T11:05:00Z</dcterms:created>
  <dcterms:modified xsi:type="dcterms:W3CDTF">2020-04-24T11:05:00Z</dcterms:modified>
</cp:coreProperties>
</file>